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24"/>
          <w:szCs w:val="24"/>
        </w:rPr>
      </w:pPr>
    </w:p>
    <w:p>
      <w:pPr>
        <w:adjustRightInd w:val="0"/>
        <w:spacing w:line="240" w:lineRule="atLeast"/>
        <w:jc w:val="center"/>
        <w:rPr>
          <w:rFonts w:ascii="楷体" w:hAnsi="楷体" w:eastAsia="楷体"/>
          <w:b/>
          <w:color w:val="000000"/>
          <w:sz w:val="72"/>
          <w:szCs w:val="72"/>
        </w:rPr>
      </w:pPr>
      <w:r>
        <w:rPr>
          <w:rFonts w:hint="eastAsia" w:ascii="楷体" w:hAnsi="楷体" w:eastAsia="楷体"/>
          <w:b/>
          <w:color w:val="000000"/>
          <w:sz w:val="72"/>
          <w:szCs w:val="72"/>
        </w:rPr>
        <w:t>台山市人民法院采购项目</w:t>
      </w:r>
    </w:p>
    <w:p>
      <w:pPr>
        <w:adjustRightInd w:val="0"/>
        <w:spacing w:line="240" w:lineRule="atLeast"/>
        <w:jc w:val="center"/>
        <w:rPr>
          <w:rFonts w:ascii="黑体" w:hAnsi="黑体" w:eastAsia="黑体"/>
          <w:color w:val="000000"/>
          <w:sz w:val="30"/>
          <w:szCs w:val="30"/>
        </w:rPr>
      </w:pPr>
    </w:p>
    <w:p>
      <w:pPr>
        <w:adjustRightInd w:val="0"/>
        <w:spacing w:line="240" w:lineRule="atLeast"/>
        <w:jc w:val="center"/>
        <w:rPr>
          <w:rFonts w:ascii="黑体" w:hAnsi="黑体" w:eastAsia="黑体"/>
          <w:color w:val="000000"/>
          <w:sz w:val="30"/>
          <w:szCs w:val="30"/>
        </w:rPr>
      </w:pP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采</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购</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文</w:t>
      </w:r>
    </w:p>
    <w:p>
      <w:pPr>
        <w:adjustRightInd w:val="0"/>
        <w:snapToGrid w:val="0"/>
        <w:spacing w:line="1400" w:lineRule="atLeast"/>
        <w:jc w:val="center"/>
        <w:rPr>
          <w:rFonts w:ascii="黑体" w:hAnsi="黑体" w:eastAsia="黑体"/>
          <w:color w:val="000000"/>
          <w:sz w:val="90"/>
          <w:szCs w:val="90"/>
        </w:rPr>
      </w:pPr>
      <w:r>
        <w:rPr>
          <w:rFonts w:hint="eastAsia" w:ascii="黑体" w:hAnsi="黑体" w:eastAsia="黑体"/>
          <w:color w:val="000000"/>
          <w:sz w:val="90"/>
          <w:szCs w:val="90"/>
        </w:rPr>
        <w:t>件</w:t>
      </w:r>
    </w:p>
    <w:p>
      <w:pPr>
        <w:spacing w:line="500" w:lineRule="exact"/>
        <w:ind w:firstLine="2409" w:firstLineChars="1000"/>
        <w:jc w:val="left"/>
        <w:rPr>
          <w:b/>
          <w:bCs/>
          <w:color w:val="000000"/>
          <w:sz w:val="24"/>
        </w:rPr>
      </w:pPr>
    </w:p>
    <w:p>
      <w:pPr>
        <w:spacing w:line="500" w:lineRule="exact"/>
        <w:ind w:firstLine="2409" w:firstLineChars="1000"/>
        <w:jc w:val="left"/>
        <w:rPr>
          <w:b/>
          <w:bCs/>
          <w:color w:val="000000"/>
          <w:sz w:val="24"/>
        </w:rPr>
      </w:pPr>
    </w:p>
    <w:p>
      <w:pPr>
        <w:spacing w:line="660" w:lineRule="atLeast"/>
        <w:ind w:firstLine="283" w:firstLineChars="94"/>
        <w:jc w:val="left"/>
        <w:rPr>
          <w:rFonts w:ascii="宋体" w:hAnsi="宋体"/>
          <w:b/>
          <w:bCs/>
          <w:color w:val="000000"/>
          <w:sz w:val="30"/>
          <w:szCs w:val="30"/>
          <w:u w:val="single"/>
        </w:rPr>
      </w:pPr>
      <w:r>
        <w:rPr>
          <w:rFonts w:hint="eastAsia" w:ascii="宋体" w:hAnsi="宋体"/>
          <w:b/>
          <w:bCs/>
          <w:color w:val="000000"/>
          <w:sz w:val="30"/>
          <w:szCs w:val="30"/>
        </w:rPr>
        <w:t>采购</w:t>
      </w:r>
      <w:r>
        <w:rPr>
          <w:rFonts w:ascii="宋体" w:hAnsi="宋体"/>
          <w:b/>
          <w:bCs/>
          <w:color w:val="000000"/>
          <w:sz w:val="30"/>
          <w:szCs w:val="30"/>
        </w:rPr>
        <w:t>项目编号：</w:t>
      </w:r>
      <w:r>
        <w:rPr>
          <w:rFonts w:hint="eastAsia" w:ascii="宋体" w:hAnsi="宋体"/>
          <w:b/>
          <w:bCs/>
          <w:color w:val="000000"/>
          <w:sz w:val="30"/>
          <w:szCs w:val="30"/>
          <w:u w:val="single"/>
        </w:rPr>
        <w:t xml:space="preserve">TSFY-2023004    </w:t>
      </w:r>
      <w:r>
        <w:rPr>
          <w:rFonts w:ascii="宋体" w:hAnsi="宋体"/>
          <w:b/>
          <w:bCs/>
          <w:color w:val="000000"/>
          <w:sz w:val="30"/>
          <w:szCs w:val="30"/>
          <w:u w:val="single"/>
        </w:rPr>
        <w:t xml:space="preserve">    </w:t>
      </w:r>
      <w:r>
        <w:rPr>
          <w:rFonts w:hint="eastAsia" w:ascii="宋体" w:hAnsi="宋体"/>
          <w:b/>
          <w:bCs/>
          <w:color w:val="000000"/>
          <w:sz w:val="30"/>
          <w:szCs w:val="30"/>
          <w:u w:val="single"/>
        </w:rPr>
        <w:t xml:space="preserve">        </w:t>
      </w:r>
    </w:p>
    <w:p>
      <w:pPr>
        <w:spacing w:line="660" w:lineRule="atLeast"/>
        <w:ind w:left="2394" w:leftChars="135" w:hanging="2111" w:hangingChars="701"/>
        <w:jc w:val="left"/>
        <w:rPr>
          <w:rFonts w:ascii="宋体" w:hAnsi="宋体"/>
          <w:b/>
          <w:bCs/>
          <w:color w:val="000000"/>
          <w:sz w:val="30"/>
          <w:szCs w:val="30"/>
        </w:rPr>
      </w:pPr>
      <w:r>
        <w:rPr>
          <w:rFonts w:hint="eastAsia" w:ascii="宋体" w:hAnsi="宋体"/>
          <w:b/>
          <w:bCs/>
          <w:color w:val="000000"/>
          <w:sz w:val="30"/>
          <w:szCs w:val="30"/>
        </w:rPr>
        <w:t>采购</w:t>
      </w:r>
      <w:r>
        <w:rPr>
          <w:rFonts w:ascii="宋体" w:hAnsi="宋体"/>
          <w:b/>
          <w:bCs/>
          <w:color w:val="000000"/>
          <w:sz w:val="30"/>
          <w:szCs w:val="30"/>
        </w:rPr>
        <w:t>项目名称：</w:t>
      </w:r>
      <w:r>
        <w:rPr>
          <w:rFonts w:hint="eastAsia" w:ascii="宋体" w:hAnsi="宋体"/>
          <w:b/>
          <w:bCs/>
          <w:color w:val="000000"/>
          <w:sz w:val="30"/>
          <w:szCs w:val="30"/>
          <w:u w:val="single"/>
        </w:rPr>
        <w:t xml:space="preserve">台山市人民法院2023年辅助送达服务采购项目 </w:t>
      </w:r>
    </w:p>
    <w:p>
      <w:pPr>
        <w:spacing w:line="500" w:lineRule="exact"/>
        <w:jc w:val="center"/>
        <w:rPr>
          <w:b/>
          <w:bCs/>
          <w:color w:val="000000"/>
          <w:sz w:val="24"/>
        </w:rPr>
      </w:pPr>
    </w:p>
    <w:p>
      <w:pPr>
        <w:spacing w:line="360" w:lineRule="auto"/>
        <w:jc w:val="center"/>
        <w:rPr>
          <w:b/>
          <w:color w:val="000000"/>
          <w:sz w:val="28"/>
        </w:rPr>
      </w:pPr>
    </w:p>
    <w:p>
      <w:pPr>
        <w:spacing w:line="360" w:lineRule="auto"/>
        <w:jc w:val="center"/>
        <w:rPr>
          <w:b/>
          <w:color w:val="000000"/>
          <w:sz w:val="28"/>
        </w:rPr>
      </w:pP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台山市人民法院编制</w:t>
      </w:r>
    </w:p>
    <w:p>
      <w:pPr>
        <w:spacing w:line="360" w:lineRule="auto"/>
        <w:jc w:val="center"/>
        <w:rPr>
          <w:rFonts w:ascii="楷体_GB2312" w:hAnsi="宋体" w:eastAsia="楷体_GB2312"/>
          <w:b/>
          <w:bCs/>
          <w:color w:val="000000"/>
          <w:sz w:val="28"/>
          <w:szCs w:val="28"/>
        </w:rPr>
      </w:pPr>
      <w:r>
        <w:rPr>
          <w:rFonts w:hint="eastAsia" w:ascii="楷体_GB2312" w:hAnsi="宋体" w:eastAsia="楷体_GB2312"/>
          <w:b/>
          <w:bCs/>
          <w:color w:val="000000"/>
          <w:sz w:val="28"/>
          <w:szCs w:val="28"/>
        </w:rPr>
        <w:t>发布日期：2023年10月16日</w:t>
      </w:r>
    </w:p>
    <w:p>
      <w:pPr>
        <w:ind w:left="-475" w:leftChars="-226"/>
        <w:rPr>
          <w:b/>
          <w:bCs/>
          <w:color w:val="000000"/>
          <w:sz w:val="36"/>
        </w:rPr>
        <w:sectPr>
          <w:headerReference r:id="rId4" w:type="first"/>
          <w:headerReference r:id="rId3" w:type="default"/>
          <w:footerReference r:id="rId5" w:type="default"/>
          <w:footerReference r:id="rId6" w:type="even"/>
          <w:pgSz w:w="11906" w:h="16838"/>
          <w:pgMar w:top="1247" w:right="1588" w:bottom="1418" w:left="1588" w:header="851" w:footer="964" w:gutter="0"/>
          <w:pgNumType w:start="1"/>
          <w:cols w:space="720" w:num="1"/>
          <w:titlePg/>
          <w:docGrid w:linePitch="312" w:charSpace="0"/>
        </w:sectPr>
      </w:pPr>
    </w:p>
    <w:p>
      <w:pPr>
        <w:jc w:val="center"/>
        <w:rPr>
          <w:rFonts w:ascii="黑体" w:hAnsi="黑体" w:eastAsia="黑体"/>
          <w:color w:val="000000"/>
          <w:sz w:val="36"/>
          <w:szCs w:val="36"/>
        </w:rPr>
      </w:pPr>
      <w:r>
        <w:rPr>
          <w:rFonts w:hint="eastAsia" w:ascii="黑体" w:hAnsi="黑体" w:eastAsia="黑体"/>
          <w:color w:val="000000"/>
          <w:sz w:val="36"/>
          <w:szCs w:val="36"/>
        </w:rPr>
        <w:t>目</w:t>
      </w:r>
      <w:r>
        <w:rPr>
          <w:rFonts w:ascii="黑体" w:hAnsi="黑体" w:eastAsia="黑体"/>
          <w:color w:val="000000"/>
          <w:sz w:val="36"/>
          <w:szCs w:val="36"/>
        </w:rPr>
        <w:t xml:space="preserve"> </w:t>
      </w:r>
      <w:r>
        <w:rPr>
          <w:rFonts w:hint="eastAsia" w:ascii="黑体" w:hAnsi="黑体" w:eastAsia="黑体"/>
          <w:color w:val="000000"/>
          <w:sz w:val="36"/>
          <w:szCs w:val="36"/>
        </w:rPr>
        <w:t xml:space="preserve">  录</w:t>
      </w:r>
      <w:bookmarkStart w:id="0" w:name="_Toc49329246"/>
      <w:bookmarkStart w:id="1" w:name="_Toc113157415"/>
    </w:p>
    <w:p>
      <w:pPr>
        <w:spacing w:line="720" w:lineRule="atLeast"/>
        <w:rPr>
          <w:rFonts w:ascii="宋体" w:hAnsi="宋体"/>
          <w:color w:val="000000"/>
        </w:rPr>
      </w:pPr>
    </w:p>
    <w:p>
      <w:pPr>
        <w:pStyle w:val="52"/>
        <w:tabs>
          <w:tab w:val="right" w:leader="dot" w:pos="8720"/>
        </w:tabs>
        <w:rPr>
          <w:rFonts w:ascii="宋体" w:hAnsi="宋体"/>
          <w:b w:val="0"/>
          <w:bCs w:val="0"/>
          <w:caps w:val="0"/>
          <w:color w:val="000000"/>
          <w:sz w:val="21"/>
          <w:szCs w:val="22"/>
        </w:rPr>
      </w:pPr>
      <w:r>
        <w:rPr>
          <w:rFonts w:ascii="宋体" w:hAnsi="宋体"/>
          <w:b w:val="0"/>
          <w:bCs w:val="0"/>
          <w:caps w:val="0"/>
          <w:smallCaps/>
          <w:color w:val="000000"/>
          <w:szCs w:val="30"/>
        </w:rPr>
        <w:fldChar w:fldCharType="begin"/>
      </w:r>
      <w:r>
        <w:rPr>
          <w:rFonts w:ascii="宋体" w:hAnsi="宋体"/>
          <w:b w:val="0"/>
          <w:bCs w:val="0"/>
          <w:caps w:val="0"/>
          <w:smallCaps/>
          <w:color w:val="000000"/>
          <w:szCs w:val="30"/>
        </w:rPr>
        <w:instrText xml:space="preserve"> TOC \o "1-2" \h \z \u </w:instrText>
      </w:r>
      <w:r>
        <w:rPr>
          <w:rFonts w:ascii="宋体" w:hAnsi="宋体"/>
          <w:b w:val="0"/>
          <w:bCs w:val="0"/>
          <w:caps w:val="0"/>
          <w:smallCaps/>
          <w:color w:val="000000"/>
          <w:szCs w:val="30"/>
        </w:rPr>
        <w:fldChar w:fldCharType="separate"/>
      </w:r>
      <w:r>
        <w:fldChar w:fldCharType="begin"/>
      </w:r>
      <w:r>
        <w:instrText xml:space="preserve"> HYPERLINK \l "_Toc70360948" </w:instrText>
      </w:r>
      <w:r>
        <w:fldChar w:fldCharType="separate"/>
      </w:r>
      <w:r>
        <w:rPr>
          <w:rStyle w:val="43"/>
          <w:rFonts w:hint="eastAsia" w:ascii="宋体" w:hAnsi="宋体"/>
          <w:color w:val="000000"/>
        </w:rPr>
        <w:t>第一部分　报价邀请函</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_Toc70360948 \h </w:instrText>
      </w:r>
      <w:r>
        <w:rPr>
          <w:rFonts w:ascii="宋体" w:hAnsi="宋体"/>
          <w:color w:val="000000"/>
        </w:rPr>
        <w:fldChar w:fldCharType="separate"/>
      </w:r>
      <w:r>
        <w:rPr>
          <w:rFonts w:ascii="宋体" w:hAnsi="宋体"/>
          <w:color w:val="000000"/>
        </w:rPr>
        <w:t>1</w:t>
      </w:r>
      <w:r>
        <w:rPr>
          <w:rFonts w:ascii="宋体" w:hAnsi="宋体"/>
          <w:color w:val="000000"/>
        </w:rPr>
        <w:fldChar w:fldCharType="end"/>
      </w:r>
      <w:r>
        <w:rPr>
          <w:rFonts w:ascii="宋体" w:hAnsi="宋体"/>
          <w:color w:val="000000"/>
        </w:rPr>
        <w:fldChar w:fldCharType="end"/>
      </w:r>
    </w:p>
    <w:p>
      <w:pPr>
        <w:pStyle w:val="52"/>
        <w:tabs>
          <w:tab w:val="right" w:leader="dot" w:pos="8720"/>
        </w:tabs>
        <w:rPr>
          <w:rFonts w:ascii="宋体" w:hAnsi="宋体"/>
          <w:b w:val="0"/>
          <w:bCs w:val="0"/>
          <w:caps w:val="0"/>
          <w:color w:val="000000"/>
          <w:sz w:val="21"/>
          <w:szCs w:val="22"/>
        </w:rPr>
      </w:pPr>
      <w:r>
        <w:fldChar w:fldCharType="begin"/>
      </w:r>
      <w:r>
        <w:instrText xml:space="preserve"> HYPERLINK \l "_Toc70360949" </w:instrText>
      </w:r>
      <w:r>
        <w:fldChar w:fldCharType="separate"/>
      </w:r>
      <w:r>
        <w:rPr>
          <w:rStyle w:val="43"/>
          <w:rFonts w:hint="eastAsia" w:ascii="宋体" w:hAnsi="宋体"/>
          <w:color w:val="000000"/>
        </w:rPr>
        <w:t>第二部分　用户需求书</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_Toc70360949 \h </w:instrText>
      </w:r>
      <w:r>
        <w:rPr>
          <w:rFonts w:ascii="宋体" w:hAnsi="宋体"/>
          <w:color w:val="000000"/>
        </w:rPr>
        <w:fldChar w:fldCharType="separate"/>
      </w:r>
      <w:r>
        <w:rPr>
          <w:rFonts w:ascii="宋体" w:hAnsi="宋体"/>
          <w:color w:val="000000"/>
        </w:rPr>
        <w:t>2</w:t>
      </w:r>
      <w:r>
        <w:rPr>
          <w:rFonts w:ascii="宋体" w:hAnsi="宋体"/>
          <w:color w:val="000000"/>
        </w:rPr>
        <w:fldChar w:fldCharType="end"/>
      </w:r>
      <w:r>
        <w:rPr>
          <w:rFonts w:ascii="宋体" w:hAnsi="宋体"/>
          <w:color w:val="000000"/>
        </w:rPr>
        <w:fldChar w:fldCharType="end"/>
      </w:r>
    </w:p>
    <w:p>
      <w:pPr>
        <w:pStyle w:val="52"/>
        <w:tabs>
          <w:tab w:val="right" w:leader="dot" w:pos="8720"/>
        </w:tabs>
        <w:rPr>
          <w:rFonts w:ascii="宋体" w:hAnsi="宋体"/>
          <w:b w:val="0"/>
          <w:bCs w:val="0"/>
          <w:caps w:val="0"/>
          <w:color w:val="000000"/>
          <w:sz w:val="21"/>
          <w:szCs w:val="22"/>
        </w:rPr>
      </w:pPr>
      <w:r>
        <w:fldChar w:fldCharType="begin"/>
      </w:r>
      <w:r>
        <w:instrText xml:space="preserve"> HYPERLINK \l "_Toc70360950" </w:instrText>
      </w:r>
      <w:r>
        <w:fldChar w:fldCharType="separate"/>
      </w:r>
      <w:r>
        <w:rPr>
          <w:rStyle w:val="43"/>
          <w:rFonts w:hint="eastAsia" w:ascii="宋体" w:hAnsi="宋体"/>
          <w:color w:val="000000"/>
        </w:rPr>
        <w:t>第三部分　报价文件格式</w:t>
      </w:r>
      <w:r>
        <w:rPr>
          <w:rFonts w:ascii="宋体" w:hAnsi="宋体"/>
          <w:color w:val="000000"/>
        </w:rPr>
        <w:tab/>
      </w:r>
      <w:r>
        <w:rPr>
          <w:rFonts w:hint="eastAsia" w:ascii="宋体" w:hAnsi="宋体"/>
          <w:color w:val="000000"/>
        </w:rPr>
        <w:t>3-9</w:t>
      </w:r>
      <w:r>
        <w:rPr>
          <w:rFonts w:hint="eastAsia" w:ascii="宋体" w:hAnsi="宋体"/>
          <w:color w:val="000000"/>
        </w:rPr>
        <w:fldChar w:fldCharType="end"/>
      </w:r>
    </w:p>
    <w:p>
      <w:pPr>
        <w:pStyle w:val="49"/>
        <w:tabs>
          <w:tab w:val="right" w:leader="dot" w:pos="9174"/>
        </w:tabs>
        <w:spacing w:line="720" w:lineRule="atLeast"/>
        <w:rPr>
          <w:color w:val="000000"/>
          <w:sz w:val="28"/>
          <w:szCs w:val="28"/>
        </w:rPr>
        <w:sectPr>
          <w:headerReference r:id="rId7" w:type="first"/>
          <w:footerReference r:id="rId8" w:type="first"/>
          <w:type w:val="evenPage"/>
          <w:pgSz w:w="11906" w:h="16838"/>
          <w:pgMar w:top="1304" w:right="1588" w:bottom="1418" w:left="1588" w:header="851" w:footer="964" w:gutter="0"/>
          <w:cols w:space="720" w:num="1"/>
          <w:titlePg/>
          <w:docGrid w:linePitch="312" w:charSpace="0"/>
        </w:sectPr>
      </w:pPr>
      <w:r>
        <w:rPr>
          <w:rFonts w:ascii="宋体" w:hAnsi="宋体"/>
          <w:bCs/>
          <w:caps/>
          <w:color w:val="000000"/>
        </w:rPr>
        <w:fldChar w:fldCharType="end"/>
      </w:r>
      <w:r>
        <w:rPr>
          <w:rFonts w:hint="eastAsia"/>
          <w:color w:val="000000"/>
          <w:sz w:val="28"/>
          <w:szCs w:val="28"/>
        </w:rPr>
        <w:t xml:space="preserve"> </w:t>
      </w:r>
      <w:bookmarkEnd w:id="0"/>
      <w:bookmarkEnd w:id="1"/>
    </w:p>
    <w:p>
      <w:pPr>
        <w:pStyle w:val="2"/>
        <w:pageBreakBefore/>
        <w:numPr>
          <w:ilvl w:val="0"/>
          <w:numId w:val="0"/>
        </w:numPr>
        <w:snapToGrid w:val="0"/>
        <w:spacing w:line="420" w:lineRule="atLeast"/>
        <w:rPr>
          <w:rFonts w:ascii="黑体" w:hAnsi="黑体" w:eastAsia="黑体"/>
          <w:color w:val="000000"/>
          <w:sz w:val="30"/>
          <w:szCs w:val="30"/>
        </w:rPr>
      </w:pPr>
      <w:bookmarkStart w:id="2" w:name="_Toc70360948"/>
      <w:r>
        <w:rPr>
          <w:rFonts w:hint="eastAsia" w:ascii="黑体" w:hAnsi="黑体" w:eastAsia="黑体"/>
          <w:color w:val="000000"/>
          <w:sz w:val="30"/>
          <w:szCs w:val="30"/>
        </w:rPr>
        <w:t>第一部分　报价邀请函</w:t>
      </w:r>
      <w:bookmarkEnd w:id="2"/>
    </w:p>
    <w:p>
      <w:pPr>
        <w:adjustRightInd w:val="0"/>
        <w:snapToGrid w:val="0"/>
        <w:spacing w:line="420" w:lineRule="atLeast"/>
        <w:rPr>
          <w:b/>
          <w:color w:val="000000"/>
          <w:sz w:val="24"/>
          <w:szCs w:val="24"/>
        </w:rPr>
      </w:pPr>
    </w:p>
    <w:p>
      <w:pPr>
        <w:adjustRightInd w:val="0"/>
        <w:snapToGrid w:val="0"/>
        <w:spacing w:line="420" w:lineRule="atLeast"/>
        <w:rPr>
          <w:b/>
          <w:color w:val="000000"/>
          <w:sz w:val="24"/>
          <w:szCs w:val="24"/>
        </w:rPr>
      </w:pPr>
      <w:r>
        <w:rPr>
          <w:rFonts w:hint="eastAsia"/>
          <w:b/>
          <w:color w:val="000000"/>
          <w:sz w:val="24"/>
          <w:szCs w:val="24"/>
        </w:rPr>
        <w:t>各潜在报价人：</w:t>
      </w:r>
    </w:p>
    <w:p>
      <w:pPr>
        <w:adjustRightInd w:val="0"/>
        <w:snapToGrid w:val="0"/>
        <w:spacing w:line="420" w:lineRule="atLeast"/>
        <w:ind w:firstLine="480" w:firstLineChars="200"/>
        <w:rPr>
          <w:color w:val="000000"/>
          <w:sz w:val="24"/>
          <w:szCs w:val="24"/>
        </w:rPr>
      </w:pPr>
      <w:r>
        <w:rPr>
          <w:rFonts w:hint="eastAsia"/>
          <w:color w:val="000000"/>
          <w:sz w:val="24"/>
          <w:szCs w:val="24"/>
        </w:rPr>
        <w:t>台山市人民法院就</w:t>
      </w:r>
      <w:r>
        <w:rPr>
          <w:rFonts w:hint="eastAsia" w:ascii="宋体" w:hAnsi="宋体"/>
          <w:b/>
          <w:color w:val="000000"/>
          <w:sz w:val="24"/>
          <w:szCs w:val="24"/>
          <w:u w:val="single"/>
        </w:rPr>
        <w:t>台山市人民法院2023年辅助送达服务采购项目</w:t>
      </w:r>
      <w:r>
        <w:rPr>
          <w:rFonts w:hint="eastAsia"/>
          <w:color w:val="000000"/>
          <w:sz w:val="24"/>
          <w:szCs w:val="24"/>
        </w:rPr>
        <w:t>进行国内公开采购，欢迎符合资格条件的报价人参加报价，有关事项如下：</w:t>
      </w:r>
    </w:p>
    <w:p>
      <w:pPr>
        <w:autoSpaceDE w:val="0"/>
        <w:autoSpaceDN w:val="0"/>
        <w:adjustRightInd w:val="0"/>
        <w:snapToGrid w:val="0"/>
        <w:spacing w:line="420" w:lineRule="atLeast"/>
        <w:ind w:firstLine="480" w:firstLineChars="200"/>
        <w:rPr>
          <w:rFonts w:ascii="宋体" w:hAnsi="宋体"/>
          <w:bCs/>
          <w:color w:val="000000"/>
          <w:sz w:val="24"/>
          <w:szCs w:val="24"/>
        </w:rPr>
      </w:pPr>
      <w:r>
        <w:rPr>
          <w:rFonts w:hint="eastAsia" w:ascii="宋体" w:hAnsi="宋体"/>
          <w:color w:val="000000"/>
          <w:sz w:val="24"/>
          <w:szCs w:val="24"/>
          <w:lang w:val="zh-CN"/>
        </w:rPr>
        <w:t>一、采购项目编号：</w:t>
      </w:r>
      <w:r>
        <w:rPr>
          <w:rFonts w:ascii="宋体" w:hAnsi="宋体"/>
          <w:bCs/>
          <w:color w:val="000000"/>
          <w:sz w:val="24"/>
          <w:szCs w:val="24"/>
        </w:rPr>
        <w:t>TSFY-202</w:t>
      </w:r>
      <w:r>
        <w:rPr>
          <w:rFonts w:hint="eastAsia" w:ascii="宋体" w:hAnsi="宋体"/>
          <w:bCs/>
          <w:color w:val="000000"/>
          <w:sz w:val="24"/>
          <w:szCs w:val="24"/>
        </w:rPr>
        <w:t>3</w:t>
      </w:r>
      <w:r>
        <w:rPr>
          <w:rFonts w:ascii="宋体" w:hAnsi="宋体"/>
          <w:bCs/>
          <w:color w:val="000000"/>
          <w:sz w:val="24"/>
          <w:szCs w:val="24"/>
        </w:rPr>
        <w:t>00</w:t>
      </w:r>
      <w:r>
        <w:rPr>
          <w:rFonts w:hint="eastAsia" w:ascii="宋体" w:hAnsi="宋体"/>
          <w:bCs/>
          <w:color w:val="000000"/>
          <w:sz w:val="24"/>
          <w:szCs w:val="24"/>
        </w:rPr>
        <w:t>4</w:t>
      </w:r>
    </w:p>
    <w:p>
      <w:pPr>
        <w:autoSpaceDE w:val="0"/>
        <w:autoSpaceDN w:val="0"/>
        <w:adjustRightInd w:val="0"/>
        <w:snapToGrid w:val="0"/>
        <w:spacing w:line="420" w:lineRule="atLeast"/>
        <w:ind w:firstLine="480" w:firstLineChars="200"/>
        <w:rPr>
          <w:rFonts w:ascii="宋体" w:hAnsi="宋体"/>
          <w:bCs/>
          <w:color w:val="000000"/>
          <w:sz w:val="24"/>
          <w:szCs w:val="24"/>
        </w:rPr>
      </w:pPr>
      <w:r>
        <w:rPr>
          <w:rFonts w:hint="eastAsia" w:ascii="宋体" w:hAnsi="宋体"/>
          <w:bCs/>
          <w:color w:val="000000"/>
          <w:sz w:val="24"/>
          <w:szCs w:val="24"/>
        </w:rPr>
        <w:t>二、采购项目名称：台山市人民法院辅助送达服务采购项目</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rPr>
        <w:t>三</w:t>
      </w:r>
      <w:r>
        <w:rPr>
          <w:rFonts w:hint="eastAsia" w:ascii="宋体" w:hAnsi="宋体"/>
          <w:color w:val="000000"/>
          <w:sz w:val="24"/>
          <w:szCs w:val="24"/>
          <w:lang w:val="zh-CN"/>
        </w:rPr>
        <w:t>、项目内容及需求：详见采购文件第二部分《用户需求书》。</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四、采购预算：</w:t>
      </w:r>
      <w:r>
        <w:rPr>
          <w:rFonts w:hint="eastAsia" w:ascii="宋体" w:hAnsi="宋体"/>
          <w:color w:val="000000"/>
          <w:sz w:val="24"/>
          <w:szCs w:val="24"/>
          <w:u w:val="single"/>
          <w:lang w:val="zh-CN"/>
        </w:rPr>
        <w:t>￥</w:t>
      </w:r>
      <w:r>
        <w:rPr>
          <w:rFonts w:hint="eastAsia" w:ascii="宋体" w:hAnsi="宋体"/>
          <w:color w:val="000000"/>
          <w:sz w:val="24"/>
          <w:szCs w:val="24"/>
          <w:u w:val="single"/>
        </w:rPr>
        <w:t>220000.00</w:t>
      </w:r>
      <w:r>
        <w:rPr>
          <w:rFonts w:hint="eastAsia" w:ascii="宋体" w:hAnsi="宋体"/>
          <w:color w:val="000000"/>
          <w:sz w:val="24"/>
          <w:szCs w:val="24"/>
        </w:rPr>
        <w:t>元（超过采购预算的报价为无效报价，报价应为含税全包价）</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五、报价人资格要求：</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1、必须是具有独立承担民事责任能力的在中华人民共和国境内注册的法人或其他组织或自然人。</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2、必须具有从事本项目的经营范围和专业技术能力。</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3、参加政府采购活动前三年内，在经营活动中没有重大违法记录。</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4、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adjustRightInd w:val="0"/>
        <w:snapToGrid w:val="0"/>
        <w:spacing w:line="420" w:lineRule="atLeast"/>
        <w:ind w:firstLine="523" w:firstLineChars="218"/>
        <w:rPr>
          <w:rFonts w:ascii="宋体" w:hAnsi="宋体"/>
          <w:color w:val="000000"/>
          <w:sz w:val="24"/>
          <w:szCs w:val="24"/>
        </w:rPr>
      </w:pPr>
      <w:r>
        <w:rPr>
          <w:rFonts w:hint="eastAsia" w:ascii="宋体" w:hAnsi="宋体"/>
          <w:color w:val="000000"/>
          <w:sz w:val="24"/>
          <w:szCs w:val="24"/>
        </w:rPr>
        <w:t>5、本项目不接受联合体报价。</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六、采购文件公示时间：2023年 10月16日14时30分－2023年10月19日14时30分</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七、采购</w:t>
      </w:r>
      <w:r>
        <w:rPr>
          <w:rFonts w:ascii="宋体" w:hAnsi="宋体"/>
          <w:color w:val="000000"/>
          <w:sz w:val="24"/>
          <w:szCs w:val="24"/>
        </w:rPr>
        <w:t>文件</w:t>
      </w:r>
      <w:r>
        <w:rPr>
          <w:rFonts w:hint="eastAsia" w:ascii="宋体" w:hAnsi="宋体"/>
          <w:color w:val="000000"/>
          <w:sz w:val="24"/>
          <w:szCs w:val="24"/>
        </w:rPr>
        <w:t>公示/下载</w:t>
      </w:r>
      <w:r>
        <w:rPr>
          <w:rFonts w:ascii="宋体" w:hAnsi="宋体"/>
          <w:color w:val="000000"/>
          <w:sz w:val="24"/>
          <w:szCs w:val="24"/>
        </w:rPr>
        <w:t>：www.hscourt.gov.cn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八、</w:t>
      </w:r>
      <w:r>
        <w:rPr>
          <w:rFonts w:ascii="宋体" w:hAnsi="宋体"/>
          <w:color w:val="000000"/>
          <w:sz w:val="24"/>
          <w:szCs w:val="24"/>
        </w:rPr>
        <w:t>咨询答疑会</w:t>
      </w:r>
      <w:r>
        <w:rPr>
          <w:rFonts w:hint="eastAsia" w:ascii="宋体" w:hAnsi="宋体"/>
          <w:color w:val="000000"/>
          <w:sz w:val="24"/>
          <w:szCs w:val="24"/>
        </w:rPr>
        <w:t>：</w:t>
      </w:r>
      <w:r>
        <w:rPr>
          <w:rFonts w:ascii="宋体" w:hAnsi="宋体"/>
          <w:color w:val="000000"/>
          <w:sz w:val="24"/>
          <w:szCs w:val="24"/>
        </w:rPr>
        <w:t>本项目不举行答疑会，详情可直接向采购人了解</w:t>
      </w:r>
      <w:r>
        <w:rPr>
          <w:rFonts w:hint="eastAsia" w:ascii="宋体" w:hAnsi="宋体"/>
          <w:color w:val="000000"/>
          <w:sz w:val="24"/>
          <w:szCs w:val="24"/>
        </w:rPr>
        <w:t>。</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九、递交报价文件截止时间：2023年10月19日14时30分</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十、递交报价文件地点：台山市台城街道沙岗湖路62号</w:t>
      </w:r>
      <w:r>
        <w:rPr>
          <w:rFonts w:ascii="宋体" w:hAnsi="宋体"/>
          <w:color w:val="000000"/>
          <w:sz w:val="24"/>
          <w:szCs w:val="24"/>
        </w:rPr>
        <w:t>办公大楼</w:t>
      </w:r>
      <w:r>
        <w:rPr>
          <w:rFonts w:hint="eastAsia" w:ascii="宋体" w:hAnsi="宋体"/>
          <w:color w:val="000000"/>
          <w:sz w:val="24"/>
          <w:szCs w:val="24"/>
        </w:rPr>
        <w:t>6楼605室（注：报价</w:t>
      </w:r>
      <w:r>
        <w:rPr>
          <w:rFonts w:ascii="宋体" w:hAnsi="宋体"/>
          <w:color w:val="000000"/>
          <w:sz w:val="24"/>
          <w:szCs w:val="24"/>
        </w:rPr>
        <w:t>人代表以密封包装</w:t>
      </w:r>
      <w:r>
        <w:rPr>
          <w:rFonts w:hint="eastAsia" w:ascii="宋体" w:hAnsi="宋体"/>
          <w:color w:val="000000"/>
          <w:sz w:val="24"/>
          <w:szCs w:val="24"/>
        </w:rPr>
        <w:t>方式</w:t>
      </w:r>
      <w:r>
        <w:rPr>
          <w:rFonts w:ascii="宋体" w:hAnsi="宋体"/>
          <w:color w:val="000000"/>
          <w:sz w:val="24"/>
          <w:szCs w:val="24"/>
        </w:rPr>
        <w:t>递交</w:t>
      </w:r>
      <w:r>
        <w:rPr>
          <w:rFonts w:hint="eastAsia" w:ascii="宋体" w:hAnsi="宋体"/>
          <w:color w:val="000000"/>
          <w:sz w:val="24"/>
          <w:szCs w:val="24"/>
        </w:rPr>
        <w:t>）</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十一、开标地点：台山市人民法院（台山市台城街道沙岗湖路62号）</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十二、采购人和联系方式：</w:t>
      </w:r>
      <w:r>
        <w:rPr>
          <w:rFonts w:ascii="宋体" w:hAnsi="宋体"/>
          <w:color w:val="000000"/>
          <w:sz w:val="24"/>
          <w:szCs w:val="24"/>
        </w:rPr>
        <w:t>联系人：</w:t>
      </w:r>
      <w:r>
        <w:rPr>
          <w:rFonts w:hint="eastAsia" w:ascii="宋体" w:hAnsi="宋体"/>
          <w:color w:val="000000"/>
          <w:sz w:val="24"/>
          <w:szCs w:val="24"/>
        </w:rPr>
        <w:t>梁先生，</w:t>
      </w:r>
      <w:r>
        <w:rPr>
          <w:rFonts w:ascii="宋体" w:hAnsi="宋体"/>
          <w:color w:val="000000"/>
          <w:sz w:val="24"/>
          <w:szCs w:val="24"/>
        </w:rPr>
        <w:t>联系电话：075</w:t>
      </w:r>
      <w:r>
        <w:rPr>
          <w:rFonts w:hint="eastAsia" w:ascii="宋体" w:hAnsi="宋体"/>
          <w:color w:val="000000"/>
          <w:sz w:val="24"/>
          <w:szCs w:val="24"/>
        </w:rPr>
        <w:t>0－5557160</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十三、</w:t>
      </w:r>
      <w:r>
        <w:rPr>
          <w:rFonts w:ascii="宋体" w:hAnsi="宋体"/>
          <w:color w:val="000000"/>
          <w:sz w:val="24"/>
          <w:szCs w:val="24"/>
        </w:rPr>
        <w:t>采购</w:t>
      </w:r>
      <w:r>
        <w:rPr>
          <w:rFonts w:hint="eastAsia" w:ascii="宋体" w:hAnsi="宋体"/>
          <w:color w:val="000000"/>
          <w:sz w:val="24"/>
          <w:szCs w:val="24"/>
        </w:rPr>
        <w:t>代理</w:t>
      </w:r>
      <w:r>
        <w:rPr>
          <w:rFonts w:ascii="宋体" w:hAnsi="宋体"/>
          <w:color w:val="000000"/>
          <w:sz w:val="24"/>
          <w:szCs w:val="24"/>
        </w:rPr>
        <w:t>机构</w:t>
      </w:r>
      <w:r>
        <w:rPr>
          <w:rFonts w:hint="eastAsia" w:ascii="宋体" w:hAnsi="宋体"/>
          <w:color w:val="000000"/>
          <w:sz w:val="24"/>
          <w:szCs w:val="24"/>
        </w:rPr>
        <w:t>：无</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十四、公告</w:t>
      </w:r>
      <w:r>
        <w:rPr>
          <w:rFonts w:ascii="宋体" w:hAnsi="宋体"/>
          <w:color w:val="000000"/>
          <w:sz w:val="24"/>
          <w:szCs w:val="24"/>
        </w:rPr>
        <w:t>信息</w:t>
      </w:r>
      <w:r>
        <w:rPr>
          <w:rFonts w:hint="eastAsia" w:ascii="宋体" w:hAnsi="宋体"/>
          <w:color w:val="000000"/>
          <w:sz w:val="24"/>
          <w:szCs w:val="24"/>
        </w:rPr>
        <w:t>查询：</w:t>
      </w:r>
      <w:r>
        <w:rPr>
          <w:rFonts w:ascii="宋体" w:hAnsi="宋体"/>
          <w:color w:val="000000"/>
          <w:sz w:val="24"/>
          <w:szCs w:val="24"/>
        </w:rPr>
        <w:t>www.</w:t>
      </w:r>
      <w:r>
        <w:rPr>
          <w:rFonts w:hint="eastAsia" w:ascii="宋体" w:hAnsi="宋体"/>
          <w:color w:val="000000"/>
          <w:sz w:val="24"/>
          <w:szCs w:val="24"/>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ascii="宋体" w:hAnsi="宋体"/>
          <w:color w:val="000000"/>
          <w:sz w:val="24"/>
          <w:szCs w:val="24"/>
        </w:rPr>
      </w:pPr>
      <w:r>
        <w:rPr>
          <w:rFonts w:ascii="宋体" w:hAnsi="宋体"/>
          <w:color w:val="000000"/>
          <w:sz w:val="24"/>
          <w:szCs w:val="24"/>
        </w:rPr>
        <w:t>若</w:t>
      </w:r>
      <w:r>
        <w:rPr>
          <w:rFonts w:hint="eastAsia" w:ascii="宋体" w:hAnsi="宋体"/>
          <w:color w:val="000000"/>
          <w:sz w:val="24"/>
          <w:szCs w:val="24"/>
        </w:rPr>
        <w:t>采购</w:t>
      </w:r>
      <w:r>
        <w:rPr>
          <w:rFonts w:ascii="宋体" w:hAnsi="宋体"/>
          <w:color w:val="000000"/>
          <w:sz w:val="24"/>
          <w:szCs w:val="24"/>
        </w:rPr>
        <w:t>文件有任何修改或更正通知</w:t>
      </w:r>
      <w:r>
        <w:rPr>
          <w:rFonts w:hint="eastAsia" w:ascii="宋体" w:hAnsi="宋体"/>
          <w:color w:val="000000"/>
          <w:sz w:val="24"/>
          <w:szCs w:val="24"/>
        </w:rPr>
        <w:t>，报价</w:t>
      </w:r>
      <w:r>
        <w:rPr>
          <w:rFonts w:ascii="宋体" w:hAnsi="宋体"/>
          <w:color w:val="000000"/>
          <w:sz w:val="24"/>
          <w:szCs w:val="24"/>
        </w:rPr>
        <w:t>截止时间前24小时在原公告栏发布。</w:t>
      </w:r>
    </w:p>
    <w:p>
      <w:pPr>
        <w:pStyle w:val="2"/>
        <w:pageBreakBefore/>
        <w:numPr>
          <w:ilvl w:val="0"/>
          <w:numId w:val="0"/>
        </w:numPr>
        <w:snapToGrid w:val="0"/>
        <w:spacing w:line="500" w:lineRule="atLeast"/>
        <w:rPr>
          <w:rFonts w:ascii="黑体" w:hAnsi="黑体" w:eastAsia="黑体"/>
          <w:color w:val="000000"/>
          <w:sz w:val="30"/>
          <w:szCs w:val="30"/>
        </w:rPr>
      </w:pPr>
      <w:bookmarkStart w:id="3" w:name="_Toc49329247"/>
      <w:bookmarkStart w:id="4" w:name="_Toc78604588"/>
      <w:bookmarkStart w:id="5" w:name="_Toc113157416"/>
      <w:bookmarkStart w:id="6" w:name="_Toc70360949"/>
      <w:bookmarkStart w:id="7" w:name="_Toc49329248"/>
      <w:bookmarkStart w:id="8" w:name="_Toc78604589"/>
      <w:bookmarkStart w:id="9" w:name="_Toc113157417"/>
      <w:r>
        <w:rPr>
          <w:rFonts w:hint="eastAsia" w:ascii="黑体" w:hAnsi="黑体" w:eastAsia="黑体"/>
          <w:color w:val="000000"/>
          <w:sz w:val="30"/>
          <w:szCs w:val="30"/>
        </w:rPr>
        <w:t>第二部分　</w:t>
      </w:r>
      <w:bookmarkEnd w:id="3"/>
      <w:bookmarkEnd w:id="4"/>
      <w:bookmarkEnd w:id="5"/>
      <w:bookmarkStart w:id="10" w:name="_Toc159385042"/>
      <w:r>
        <w:rPr>
          <w:rFonts w:hint="eastAsia" w:ascii="黑体" w:hAnsi="黑体" w:eastAsia="黑体"/>
          <w:color w:val="000000"/>
          <w:sz w:val="30"/>
          <w:szCs w:val="30"/>
        </w:rPr>
        <w:t>用户需求书</w:t>
      </w:r>
      <w:bookmarkEnd w:id="6"/>
    </w:p>
    <w:p>
      <w:pPr>
        <w:pStyle w:val="24"/>
        <w:tabs>
          <w:tab w:val="left" w:pos="7740"/>
        </w:tabs>
        <w:adjustRightInd w:val="0"/>
        <w:snapToGrid w:val="0"/>
        <w:spacing w:line="500" w:lineRule="atLeast"/>
        <w:rPr>
          <w:rFonts w:hAnsi="宋体"/>
          <w:b/>
          <w:color w:val="000000"/>
          <w:sz w:val="24"/>
          <w:lang w:val="zh-CN"/>
        </w:rPr>
      </w:pPr>
    </w:p>
    <w:p>
      <w:pPr>
        <w:pStyle w:val="24"/>
        <w:tabs>
          <w:tab w:val="left" w:pos="7740"/>
        </w:tabs>
        <w:adjustRightInd w:val="0"/>
        <w:snapToGrid w:val="0"/>
        <w:spacing w:line="500" w:lineRule="atLeast"/>
        <w:rPr>
          <w:rFonts w:hAnsi="宋体"/>
          <w:b/>
          <w:color w:val="000000"/>
          <w:sz w:val="24"/>
          <w:lang w:val="zh-CN"/>
        </w:rPr>
      </w:pPr>
      <w:r>
        <w:rPr>
          <w:rFonts w:hint="eastAsia" w:hAnsi="宋体"/>
          <w:b/>
          <w:color w:val="000000"/>
          <w:sz w:val="24"/>
          <w:lang w:val="zh-CN"/>
        </w:rPr>
        <w:t>说明：</w:t>
      </w:r>
    </w:p>
    <w:p>
      <w:pPr>
        <w:pStyle w:val="24"/>
        <w:tabs>
          <w:tab w:val="left" w:pos="7740"/>
        </w:tabs>
        <w:adjustRightInd w:val="0"/>
        <w:snapToGrid w:val="0"/>
        <w:spacing w:line="500" w:lineRule="atLeast"/>
        <w:ind w:firstLine="482" w:firstLineChars="200"/>
        <w:rPr>
          <w:rFonts w:hAnsi="宋体"/>
          <w:b/>
          <w:color w:val="000000"/>
          <w:sz w:val="24"/>
          <w:lang w:val="zh-CN"/>
        </w:rPr>
      </w:pPr>
      <w:r>
        <w:rPr>
          <w:rFonts w:hint="eastAsia" w:hAnsi="宋体"/>
          <w:b/>
          <w:color w:val="000000"/>
          <w:sz w:val="24"/>
          <w:lang w:val="zh-CN"/>
        </w:rPr>
        <w:t>《用户需求书》中标注有“★”号的条款（如有）必须实质性响应，负偏离（不满足要求）将导致报价无效。</w:t>
      </w:r>
    </w:p>
    <w:p>
      <w:pPr>
        <w:pStyle w:val="20"/>
        <w:adjustRightInd w:val="0"/>
        <w:snapToGrid w:val="0"/>
        <w:spacing w:line="500" w:lineRule="atLeast"/>
        <w:ind w:firstLine="480" w:firstLineChars="200"/>
        <w:rPr>
          <w:bCs/>
          <w:color w:val="000000"/>
          <w:sz w:val="24"/>
          <w:szCs w:val="24"/>
        </w:rPr>
      </w:pPr>
    </w:p>
    <w:bookmarkEnd w:id="7"/>
    <w:bookmarkEnd w:id="8"/>
    <w:bookmarkEnd w:id="9"/>
    <w:bookmarkEnd w:id="10"/>
    <w:p>
      <w:pPr>
        <w:pStyle w:val="20"/>
        <w:adjustRightInd w:val="0"/>
        <w:snapToGrid w:val="0"/>
        <w:spacing w:line="500" w:lineRule="atLeast"/>
        <w:ind w:firstLine="482" w:firstLineChars="200"/>
        <w:rPr>
          <w:b/>
          <w:bCs/>
          <w:color w:val="000000"/>
          <w:sz w:val="24"/>
          <w:szCs w:val="24"/>
        </w:rPr>
      </w:pPr>
      <w:r>
        <w:rPr>
          <w:rFonts w:hint="eastAsia"/>
          <w:b/>
          <w:bCs/>
          <w:color w:val="000000"/>
          <w:sz w:val="24"/>
          <w:szCs w:val="24"/>
        </w:rPr>
        <w:t>一、项目概述</w:t>
      </w:r>
    </w:p>
    <w:p>
      <w:pPr>
        <w:pStyle w:val="20"/>
        <w:adjustRightInd w:val="0"/>
        <w:snapToGrid w:val="0"/>
        <w:spacing w:line="500" w:lineRule="atLeast"/>
        <w:ind w:firstLine="482" w:firstLineChars="200"/>
        <w:rPr>
          <w:b/>
          <w:bCs/>
          <w:color w:val="000000"/>
          <w:sz w:val="24"/>
          <w:szCs w:val="24"/>
        </w:rPr>
      </w:pPr>
      <w:r>
        <w:rPr>
          <w:rFonts w:hint="eastAsia"/>
          <w:b/>
          <w:bCs/>
          <w:color w:val="000000"/>
          <w:sz w:val="24"/>
          <w:szCs w:val="24"/>
        </w:rPr>
        <w:t>（一）基本情况</w:t>
      </w:r>
    </w:p>
    <w:p>
      <w:pPr>
        <w:autoSpaceDE w:val="0"/>
        <w:autoSpaceDN w:val="0"/>
        <w:adjustRightInd w:val="0"/>
        <w:snapToGrid w:val="0"/>
        <w:spacing w:line="500" w:lineRule="atLeast"/>
        <w:ind w:firstLine="480" w:firstLineChars="200"/>
        <w:rPr>
          <w:rFonts w:ascii="宋体" w:hAnsi="宋体"/>
          <w:bCs/>
          <w:color w:val="000000"/>
          <w:sz w:val="24"/>
          <w:szCs w:val="24"/>
        </w:rPr>
      </w:pPr>
      <w:r>
        <w:rPr>
          <w:rFonts w:hint="eastAsia" w:ascii="宋体" w:hAnsi="宋体"/>
          <w:bCs/>
          <w:color w:val="000000"/>
          <w:sz w:val="24"/>
          <w:szCs w:val="24"/>
        </w:rPr>
        <w:t>1、项目名称：台山市人民法院2023年辅助送达服务采购项目</w:t>
      </w:r>
    </w:p>
    <w:p>
      <w:pPr>
        <w:autoSpaceDE w:val="0"/>
        <w:autoSpaceDN w:val="0"/>
        <w:adjustRightInd w:val="0"/>
        <w:snapToGrid w:val="0"/>
        <w:spacing w:line="500" w:lineRule="atLeast"/>
        <w:ind w:firstLine="480" w:firstLineChars="200"/>
        <w:rPr>
          <w:rFonts w:ascii="宋体" w:hAnsi="宋体"/>
          <w:color w:val="000000"/>
          <w:sz w:val="24"/>
          <w:szCs w:val="24"/>
        </w:rPr>
      </w:pPr>
      <w:r>
        <w:rPr>
          <w:rFonts w:hint="eastAsia" w:ascii="宋体" w:hAnsi="宋体"/>
          <w:bCs/>
          <w:color w:val="000000"/>
          <w:sz w:val="24"/>
          <w:szCs w:val="24"/>
        </w:rPr>
        <w:t>2、采购预算：￥220000.00元</w:t>
      </w:r>
      <w:r>
        <w:rPr>
          <w:rFonts w:hint="eastAsia" w:ascii="宋体" w:hAnsi="宋体"/>
          <w:color w:val="000000"/>
          <w:sz w:val="24"/>
          <w:szCs w:val="24"/>
        </w:rPr>
        <w:t>（超过采购预算的报价为无效报价，报价应为含税全包价）</w:t>
      </w:r>
    </w:p>
    <w:p>
      <w:pPr>
        <w:autoSpaceDE w:val="0"/>
        <w:autoSpaceDN w:val="0"/>
        <w:adjustRightInd w:val="0"/>
        <w:snapToGrid w:val="0"/>
        <w:spacing w:line="500" w:lineRule="atLeast"/>
        <w:ind w:firstLine="482" w:firstLineChars="200"/>
        <w:rPr>
          <w:rFonts w:ascii="宋体" w:hAnsi="宋体" w:cs="宋体"/>
          <w:b/>
          <w:color w:val="000000"/>
          <w:sz w:val="24"/>
        </w:rPr>
      </w:pPr>
      <w:r>
        <w:rPr>
          <w:rFonts w:hint="eastAsia" w:ascii="宋体" w:hAnsi="宋体"/>
          <w:b/>
          <w:color w:val="000000"/>
          <w:sz w:val="24"/>
          <w:szCs w:val="24"/>
        </w:rPr>
        <w:t>（二）</w:t>
      </w:r>
      <w:r>
        <w:rPr>
          <w:rFonts w:hint="eastAsia" w:ascii="宋体" w:hAnsi="宋体" w:cs="宋体"/>
          <w:b/>
          <w:color w:val="000000"/>
          <w:sz w:val="24"/>
          <w:szCs w:val="24"/>
        </w:rPr>
        <w:t>项目背景</w:t>
      </w:r>
    </w:p>
    <w:p>
      <w:pPr>
        <w:adjustRightInd w:val="0"/>
        <w:snapToGrid w:val="0"/>
        <w:spacing w:line="500" w:lineRule="atLeast"/>
        <w:ind w:firstLine="480" w:firstLineChars="200"/>
        <w:rPr>
          <w:rFonts w:ascii="宋体" w:hAnsi="宋体" w:cs="宋体"/>
          <w:color w:val="000000"/>
          <w:sz w:val="24"/>
          <w:szCs w:val="24"/>
        </w:rPr>
      </w:pPr>
      <w:bookmarkStart w:id="11" w:name="_Toc1552195210"/>
      <w:bookmarkStart w:id="12" w:name="_Toc497381829"/>
      <w:r>
        <w:rPr>
          <w:rFonts w:hint="eastAsia" w:ascii="宋体" w:hAnsi="宋体" w:cs="宋体"/>
          <w:color w:val="000000"/>
          <w:sz w:val="24"/>
          <w:szCs w:val="24"/>
        </w:rPr>
        <w:t>长期以来，“送达难”问题一直制约着法院审判效率的提高。按照最高人民法院提出《关于进步加强民事送达工作的若干意见》建设要求，借助现代信息技术手段来创新审判管理，提高送达工作的效率和质量，是当下摆在我们面前的重要课题，也是要在短时间内攻克的重点问题。法院积极探索，想要通过集约化电子送达的方式打造法院集约化送达服务模式，覆盖法院民商事案件的电子送达服务，为法院提供优质、高效、经济的电子电话辅助送达服务，为推进民事诉讼程序繁简分流改革试点工作和“双进”专项工作注入新的能量。</w:t>
      </w:r>
    </w:p>
    <w:p>
      <w:pPr>
        <w:adjustRightInd w:val="0"/>
        <w:snapToGrid w:val="0"/>
        <w:spacing w:line="500" w:lineRule="atLeast"/>
        <w:ind w:firstLine="482" w:firstLineChars="200"/>
        <w:rPr>
          <w:rFonts w:ascii="宋体" w:hAnsi="宋体" w:cs="宋体"/>
          <w:sz w:val="24"/>
        </w:rPr>
      </w:pPr>
      <w:r>
        <w:rPr>
          <w:rFonts w:hint="eastAsia" w:ascii="宋体" w:hAnsi="宋体" w:cs="宋体"/>
          <w:b/>
          <w:sz w:val="24"/>
          <w:szCs w:val="24"/>
        </w:rPr>
        <w:t>（三）建设目标</w:t>
      </w:r>
      <w:bookmarkEnd w:id="11"/>
    </w:p>
    <w:p>
      <w:pPr>
        <w:pStyle w:val="20"/>
        <w:adjustRightInd w:val="0"/>
        <w:snapToGrid w:val="0"/>
        <w:spacing w:line="500" w:lineRule="atLeast"/>
        <w:ind w:firstLine="480" w:firstLineChars="200"/>
        <w:rPr>
          <w:rFonts w:cs="宋体"/>
          <w:sz w:val="24"/>
          <w:szCs w:val="24"/>
        </w:rPr>
      </w:pPr>
      <w:r>
        <w:rPr>
          <w:rFonts w:hint="eastAsia" w:cs="宋体"/>
          <w:sz w:val="24"/>
          <w:szCs w:val="24"/>
        </w:rPr>
        <w:t>完成台山市人民法院2023年</w:t>
      </w:r>
      <w:r>
        <w:rPr>
          <w:rFonts w:hint="eastAsia" w:cs="宋体"/>
          <w:sz w:val="24"/>
          <w:szCs w:val="24"/>
          <w:lang w:eastAsia="zh-CN"/>
        </w:rPr>
        <w:t>内</w:t>
      </w:r>
      <w:r>
        <w:rPr>
          <w:rFonts w:hint="eastAsia" w:cs="宋体"/>
          <w:sz w:val="24"/>
          <w:szCs w:val="24"/>
        </w:rPr>
        <w:t>刑事、民商事、执行案件共10000件案件的电子送达服务及转交邮寄送达的交接工作。</w:t>
      </w:r>
    </w:p>
    <w:p>
      <w:pPr>
        <w:pStyle w:val="20"/>
        <w:adjustRightInd w:val="0"/>
        <w:snapToGrid w:val="0"/>
        <w:spacing w:line="500" w:lineRule="atLeast"/>
        <w:ind w:firstLine="480" w:firstLineChars="200"/>
        <w:rPr>
          <w:rFonts w:cs="宋体"/>
          <w:sz w:val="24"/>
          <w:szCs w:val="24"/>
        </w:rPr>
      </w:pPr>
      <w:r>
        <w:rPr>
          <w:rFonts w:hint="eastAsia" w:cs="宋体"/>
          <w:sz w:val="24"/>
          <w:szCs w:val="24"/>
        </w:rPr>
        <w:t>1.为法官、书记员团队减负：通过“一键下单式”，将法官从辅助事务中解放，集中精力处理核心审判事务，减少书记员90%以上送达工作量，提高法院审判质效。</w:t>
      </w:r>
    </w:p>
    <w:p>
      <w:pPr>
        <w:pStyle w:val="20"/>
        <w:adjustRightInd w:val="0"/>
        <w:snapToGrid w:val="0"/>
        <w:spacing w:line="500" w:lineRule="atLeast"/>
        <w:ind w:firstLine="480" w:firstLineChars="200"/>
        <w:rPr>
          <w:rFonts w:cs="宋体"/>
          <w:sz w:val="24"/>
          <w:szCs w:val="24"/>
        </w:rPr>
      </w:pPr>
      <w:r>
        <w:rPr>
          <w:rFonts w:hint="eastAsia" w:cs="宋体"/>
          <w:sz w:val="24"/>
          <w:szCs w:val="24"/>
        </w:rPr>
        <w:t>2</w:t>
      </w:r>
      <w:r>
        <w:rPr>
          <w:rFonts w:cs="宋体"/>
          <w:sz w:val="24"/>
          <w:szCs w:val="24"/>
        </w:rPr>
        <w:t>.</w:t>
      </w:r>
      <w:r>
        <w:rPr>
          <w:rFonts w:hint="eastAsia" w:cs="宋体"/>
          <w:sz w:val="24"/>
          <w:szCs w:val="24"/>
        </w:rPr>
        <w:t>大幅度降低送达成本：采用集约化电话、电子送达方式，原告送达成功率98%左右，被告送达成功率(普通民商事案件)为60%以上，大幅度降低公告送达率，降低法院送达成本。</w:t>
      </w:r>
    </w:p>
    <w:p>
      <w:pPr>
        <w:pStyle w:val="20"/>
        <w:adjustRightInd w:val="0"/>
        <w:snapToGrid w:val="0"/>
        <w:spacing w:line="500" w:lineRule="atLeast"/>
        <w:ind w:firstLine="480" w:firstLineChars="200"/>
        <w:rPr>
          <w:rFonts w:cs="宋体"/>
          <w:sz w:val="24"/>
          <w:szCs w:val="24"/>
        </w:rPr>
      </w:pPr>
      <w:r>
        <w:rPr>
          <w:rFonts w:hint="eastAsia" w:cs="宋体"/>
          <w:sz w:val="24"/>
          <w:szCs w:val="24"/>
        </w:rPr>
        <w:t>3</w:t>
      </w:r>
      <w:r>
        <w:rPr>
          <w:rFonts w:cs="宋体"/>
          <w:sz w:val="24"/>
          <w:szCs w:val="24"/>
        </w:rPr>
        <w:t>.</w:t>
      </w:r>
      <w:r>
        <w:rPr>
          <w:rFonts w:hint="eastAsia" w:cs="宋体"/>
          <w:sz w:val="24"/>
          <w:szCs w:val="24"/>
        </w:rPr>
        <w:t>大幅度减少送达时限：在送达时限上，过去80%案件需要15天-30天左右的送达时间，采用集约化送达服务可减少至2-7天左右，被告的最短送达成功时间仅3分钟，大幅度减少送达时限，极大提升送达环节的工作效率。</w:t>
      </w:r>
    </w:p>
    <w:p>
      <w:pPr>
        <w:pStyle w:val="20"/>
        <w:adjustRightInd w:val="0"/>
        <w:snapToGrid w:val="0"/>
        <w:spacing w:line="500" w:lineRule="atLeast"/>
        <w:ind w:firstLine="480" w:firstLineChars="200"/>
        <w:rPr>
          <w:rFonts w:cs="宋体"/>
          <w:sz w:val="24"/>
          <w:szCs w:val="24"/>
        </w:rPr>
      </w:pPr>
      <w:r>
        <w:rPr>
          <w:rFonts w:hint="eastAsia" w:cs="宋体"/>
          <w:sz w:val="24"/>
          <w:szCs w:val="24"/>
        </w:rPr>
        <w:t>4</w:t>
      </w:r>
      <w:r>
        <w:rPr>
          <w:rFonts w:cs="宋体"/>
          <w:sz w:val="24"/>
          <w:szCs w:val="24"/>
        </w:rPr>
        <w:t>.</w:t>
      </w:r>
      <w:r>
        <w:rPr>
          <w:rFonts w:hint="eastAsia" w:cs="宋体"/>
          <w:sz w:val="24"/>
          <w:szCs w:val="24"/>
        </w:rPr>
        <w:t>送达流程标准化、 规范化：帮助法院构建更加完善、更加严谨的送达工作流程，实现送达方式全覆盖、送达过程全留痕、送达服务多样化，确保送达流程的合规性和高效率，推进法院诉讼服务的规范化、标准化建设。</w:t>
      </w:r>
    </w:p>
    <w:p>
      <w:pPr>
        <w:pStyle w:val="20"/>
        <w:adjustRightInd w:val="0"/>
        <w:snapToGrid w:val="0"/>
        <w:spacing w:line="500" w:lineRule="atLeast"/>
        <w:ind w:firstLine="480" w:firstLineChars="200"/>
        <w:rPr>
          <w:rFonts w:cs="宋体"/>
          <w:sz w:val="24"/>
          <w:szCs w:val="24"/>
        </w:rPr>
      </w:pPr>
      <w:r>
        <w:rPr>
          <w:rFonts w:hint="eastAsia" w:cs="宋体"/>
          <w:sz w:val="24"/>
          <w:szCs w:val="24"/>
        </w:rPr>
        <w:t>5</w:t>
      </w:r>
      <w:r>
        <w:rPr>
          <w:rFonts w:cs="宋体"/>
          <w:sz w:val="24"/>
          <w:szCs w:val="24"/>
        </w:rPr>
        <w:t>.</w:t>
      </w:r>
      <w:r>
        <w:rPr>
          <w:rFonts w:hint="eastAsia" w:cs="宋体"/>
          <w:sz w:val="24"/>
          <w:szCs w:val="24"/>
        </w:rPr>
        <w:t>减少人民群众诉累：切实提高法院送达效率，真正实现“让数据多跑路、让群众少跑腿”，减少人民群众诉累，同时为审判工作的顺利开展提供有力的服务保障。</w:t>
      </w:r>
    </w:p>
    <w:p>
      <w:pPr>
        <w:pStyle w:val="20"/>
        <w:adjustRightInd w:val="0"/>
        <w:snapToGrid w:val="0"/>
        <w:spacing w:line="500" w:lineRule="atLeast"/>
        <w:ind w:firstLine="482" w:firstLineChars="200"/>
        <w:rPr>
          <w:rFonts w:cs="宋体"/>
          <w:sz w:val="24"/>
          <w:szCs w:val="24"/>
        </w:rPr>
      </w:pPr>
      <w:r>
        <w:rPr>
          <w:rFonts w:hint="eastAsia"/>
          <w:b/>
          <w:bCs/>
          <w:sz w:val="24"/>
          <w:szCs w:val="24"/>
        </w:rPr>
        <w:t>二、服务要求</w:t>
      </w:r>
    </w:p>
    <w:tbl>
      <w:tblPr>
        <w:tblStyle w:val="39"/>
        <w:tblW w:w="4999" w:type="pct"/>
        <w:tblInd w:w="0" w:type="dxa"/>
        <w:tblLayout w:type="autofit"/>
        <w:tblCellMar>
          <w:top w:w="0" w:type="dxa"/>
          <w:left w:w="108" w:type="dxa"/>
          <w:bottom w:w="0" w:type="dxa"/>
          <w:right w:w="108" w:type="dxa"/>
        </w:tblCellMar>
      </w:tblPr>
      <w:tblGrid>
        <w:gridCol w:w="828"/>
        <w:gridCol w:w="1267"/>
        <w:gridCol w:w="6849"/>
      </w:tblGrid>
      <w:tr>
        <w:tblPrEx>
          <w:tblCellMar>
            <w:top w:w="0" w:type="dxa"/>
            <w:left w:w="108" w:type="dxa"/>
            <w:bottom w:w="0" w:type="dxa"/>
            <w:right w:w="108" w:type="dxa"/>
          </w:tblCellMar>
        </w:tblPrEx>
        <w:trPr>
          <w:trHeight w:val="780" w:hRule="atLeast"/>
        </w:trPr>
        <w:tc>
          <w:tcPr>
            <w:tcW w:w="46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序号</w:t>
            </w:r>
          </w:p>
        </w:tc>
        <w:tc>
          <w:tcPr>
            <w:tcW w:w="708" w:type="pct"/>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名称</w:t>
            </w:r>
          </w:p>
        </w:tc>
        <w:tc>
          <w:tcPr>
            <w:tcW w:w="3827" w:type="pct"/>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内容</w:t>
            </w:r>
          </w:p>
        </w:tc>
      </w:tr>
      <w:tr>
        <w:tblPrEx>
          <w:tblCellMar>
            <w:top w:w="0" w:type="dxa"/>
            <w:left w:w="108" w:type="dxa"/>
            <w:bottom w:w="0" w:type="dxa"/>
            <w:right w:w="108" w:type="dxa"/>
          </w:tblCellMar>
        </w:tblPrEx>
        <w:trPr>
          <w:trHeight w:val="780" w:hRule="atLeast"/>
        </w:trPr>
        <w:tc>
          <w:tcPr>
            <w:tcW w:w="46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70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硬件部署</w:t>
            </w:r>
          </w:p>
        </w:tc>
        <w:tc>
          <w:tcPr>
            <w:tcW w:w="3827" w:type="pct"/>
            <w:tcBorders>
              <w:top w:val="nil"/>
              <w:left w:val="nil"/>
              <w:bottom w:val="nil"/>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提供台式电脑、录音设备、扫描机、高拍仪、司法专邮打印机、激光打印机、热敏纸打印机等设备、大型彩色打印机、扫描枪等设备；</w:t>
            </w:r>
          </w:p>
        </w:tc>
      </w:tr>
      <w:tr>
        <w:trPr>
          <w:trHeight w:val="78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上述硬件所有权归供应商所有，供应商负责部署安装及调试，采购人作为场地提供方负有保管责任。</w:t>
            </w:r>
          </w:p>
        </w:tc>
      </w:tr>
      <w:tr>
        <w:tblPrEx>
          <w:tblCellMar>
            <w:top w:w="0" w:type="dxa"/>
            <w:left w:w="108" w:type="dxa"/>
            <w:bottom w:w="0" w:type="dxa"/>
            <w:right w:w="108" w:type="dxa"/>
          </w:tblCellMar>
        </w:tblPrEx>
        <w:trPr>
          <w:trHeight w:val="620" w:hRule="atLeast"/>
        </w:trPr>
        <w:tc>
          <w:tcPr>
            <w:tcW w:w="46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70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集约送达业务支撑系统</w:t>
            </w:r>
          </w:p>
        </w:tc>
        <w:tc>
          <w:tcPr>
            <w:tcW w:w="3827" w:type="pct"/>
            <w:tcBorders>
              <w:top w:val="nil"/>
              <w:left w:val="nil"/>
              <w:bottom w:val="nil"/>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1、</w:t>
            </w:r>
            <w:r>
              <w:rPr>
                <w:rFonts w:hint="eastAsia" w:ascii="宋体" w:hAnsi="宋体" w:cs="宋体"/>
                <w:color w:val="000000"/>
                <w:kern w:val="0"/>
                <w:sz w:val="22"/>
                <w:szCs w:val="22"/>
              </w:rPr>
              <w:t>免费提供一套送达服务平台，系统操作根据法院实际操作需求调整；</w:t>
            </w:r>
            <w:r>
              <w:rPr>
                <w:rFonts w:hint="eastAsia" w:ascii="宋体" w:hAnsi="宋体" w:cs="宋体"/>
                <w:color w:val="000000"/>
                <w:kern w:val="0"/>
                <w:lang w:bidi="ar"/>
              </w:rPr>
              <w:t>送达模块:包含电子送达、电话送达、邮政送达等子模块服务。</w:t>
            </w:r>
          </w:p>
        </w:tc>
      </w:tr>
      <w:tr>
        <w:tblPrEx>
          <w:tblCellMar>
            <w:top w:w="0" w:type="dxa"/>
            <w:left w:w="108" w:type="dxa"/>
            <w:bottom w:w="0" w:type="dxa"/>
            <w:right w:w="108" w:type="dxa"/>
          </w:tblCellMar>
        </w:tblPrEx>
        <w:trPr>
          <w:trHeight w:val="62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tcBorders>
              <w:top w:val="nil"/>
              <w:left w:val="nil"/>
              <w:bottom w:val="nil"/>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2、当事人端:提供PC端、手机端、电子邮箱、支付宝小程序四个端登录、查看、下载文书功能。</w:t>
            </w:r>
          </w:p>
        </w:tc>
      </w:tr>
      <w:tr>
        <w:tblPrEx>
          <w:tblCellMar>
            <w:top w:w="0" w:type="dxa"/>
            <w:left w:w="108" w:type="dxa"/>
            <w:bottom w:w="0" w:type="dxa"/>
            <w:right w:w="108" w:type="dxa"/>
          </w:tblCellMar>
        </w:tblPrEx>
        <w:trPr>
          <w:trHeight w:val="56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tcBorders>
              <w:top w:val="nil"/>
              <w:left w:val="nil"/>
              <w:bottom w:val="nil"/>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3、法官\书记员端:提供微信群实时查询送达进度和结果。</w:t>
            </w:r>
          </w:p>
        </w:tc>
      </w:tr>
      <w:tr>
        <w:tblPrEx>
          <w:tblCellMar>
            <w:top w:w="0" w:type="dxa"/>
            <w:left w:w="108" w:type="dxa"/>
            <w:bottom w:w="0" w:type="dxa"/>
            <w:right w:w="108" w:type="dxa"/>
          </w:tblCellMar>
        </w:tblPrEx>
        <w:trPr>
          <w:trHeight w:val="425"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tcBorders>
              <w:top w:val="nil"/>
              <w:left w:val="nil"/>
              <w:bottom w:val="nil"/>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4、辅助功能:送达案件管理、送达回证管理、送达数据统计。</w:t>
            </w:r>
          </w:p>
        </w:tc>
      </w:tr>
      <w:tr>
        <w:tblPrEx>
          <w:tblCellMar>
            <w:top w:w="0" w:type="dxa"/>
            <w:left w:w="108" w:type="dxa"/>
            <w:bottom w:w="0" w:type="dxa"/>
            <w:right w:w="108" w:type="dxa"/>
          </w:tblCellMar>
        </w:tblPrEx>
        <w:trPr>
          <w:trHeight w:val="60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5、实现与人民法院送达平台对接，可向最高院质效平台上报送达数据。</w:t>
            </w:r>
          </w:p>
        </w:tc>
      </w:tr>
      <w:tr>
        <w:tblPrEx>
          <w:tblCellMar>
            <w:top w:w="0" w:type="dxa"/>
            <w:left w:w="108" w:type="dxa"/>
            <w:bottom w:w="0" w:type="dxa"/>
            <w:right w:w="108" w:type="dxa"/>
          </w:tblCellMar>
        </w:tblPrEx>
        <w:trPr>
          <w:trHeight w:val="780" w:hRule="atLeast"/>
        </w:trPr>
        <w:tc>
          <w:tcPr>
            <w:tcW w:w="46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70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人员培训</w:t>
            </w:r>
          </w:p>
        </w:tc>
        <w:tc>
          <w:tcPr>
            <w:tcW w:w="3827" w:type="pct"/>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针对供应商负责集约送达的工作人员进行培训和指导，培训内容包括业务知识及工作技能、送达立卷、系统/工具的安装与使用。</w:t>
            </w:r>
          </w:p>
        </w:tc>
      </w:tr>
      <w:tr>
        <w:tblPrEx>
          <w:tblCellMar>
            <w:top w:w="0" w:type="dxa"/>
            <w:left w:w="108" w:type="dxa"/>
            <w:bottom w:w="0" w:type="dxa"/>
            <w:right w:w="108" w:type="dxa"/>
          </w:tblCellMar>
        </w:tblPrEx>
        <w:trPr>
          <w:trHeight w:val="39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cs="宋体"/>
                <w:color w:val="000000"/>
              </w:rPr>
            </w:pPr>
          </w:p>
        </w:tc>
      </w:tr>
      <w:tr>
        <w:tblPrEx>
          <w:tblCellMar>
            <w:top w:w="0" w:type="dxa"/>
            <w:left w:w="108" w:type="dxa"/>
            <w:bottom w:w="0" w:type="dxa"/>
            <w:right w:w="108" w:type="dxa"/>
          </w:tblCellMar>
        </w:tblPrEx>
        <w:trPr>
          <w:trHeight w:val="780" w:hRule="atLeast"/>
        </w:trPr>
        <w:tc>
          <w:tcPr>
            <w:tcW w:w="46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w:t>
            </w:r>
          </w:p>
        </w:tc>
        <w:tc>
          <w:tcPr>
            <w:tcW w:w="708" w:type="pct"/>
            <w:vMerge w:val="restart"/>
            <w:tcBorders>
              <w:top w:val="nil"/>
              <w:left w:val="nil"/>
              <w:bottom w:val="nil"/>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服务导入</w:t>
            </w:r>
          </w:p>
        </w:tc>
        <w:tc>
          <w:tcPr>
            <w:tcW w:w="3827" w:type="pct"/>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台山法院提供专业的客户服务经理进行现场导入服务，内容包括集约化送达流程梳理、电子送达规则确认、系统安装配置、法官\书.记员操作培训、硬件部署等工作。协同前端工作人员完成集约化送达流程试运行，有序开展集约化送达工作。</w:t>
            </w:r>
          </w:p>
        </w:tc>
      </w:tr>
      <w:tr>
        <w:tblPrEx>
          <w:tblCellMar>
            <w:top w:w="0" w:type="dxa"/>
            <w:left w:w="108" w:type="dxa"/>
            <w:bottom w:w="0" w:type="dxa"/>
            <w:right w:w="108" w:type="dxa"/>
          </w:tblCellMar>
        </w:tblPrEx>
        <w:trPr>
          <w:trHeight w:val="78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nil"/>
              <w:right w:val="single" w:color="000000" w:sz="8" w:space="0"/>
            </w:tcBorders>
            <w:shd w:val="clear" w:color="auto" w:fill="auto"/>
            <w:vAlign w:val="center"/>
          </w:tcPr>
          <w:p>
            <w:pPr>
              <w:jc w:val="center"/>
              <w:rPr>
                <w:rFonts w:ascii="宋体" w:hAnsi="宋体" w:cs="宋体"/>
                <w:color w:val="000000"/>
              </w:rPr>
            </w:pPr>
          </w:p>
        </w:tc>
        <w:tc>
          <w:tcPr>
            <w:tcW w:w="3827"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cs="宋体"/>
                <w:color w:val="000000"/>
              </w:rPr>
            </w:pPr>
          </w:p>
        </w:tc>
      </w:tr>
      <w:tr>
        <w:tblPrEx>
          <w:tblCellMar>
            <w:top w:w="0" w:type="dxa"/>
            <w:left w:w="108" w:type="dxa"/>
            <w:bottom w:w="0" w:type="dxa"/>
            <w:right w:w="108" w:type="dxa"/>
          </w:tblCellMar>
        </w:tblPrEx>
        <w:trPr>
          <w:trHeight w:val="780" w:hRule="atLeast"/>
        </w:trPr>
        <w:tc>
          <w:tcPr>
            <w:tcW w:w="463" w:type="pct"/>
            <w:tcBorders>
              <w:top w:val="nil"/>
              <w:left w:val="single" w:color="000000" w:sz="8" w:space="0"/>
              <w:bottom w:val="single" w:color="000000" w:sz="8" w:space="0"/>
              <w:right w:val="nil"/>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5</w:t>
            </w:r>
          </w:p>
        </w:tc>
        <w:tc>
          <w:tcPr>
            <w:tcW w:w="70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电话送达服务</w:t>
            </w:r>
          </w:p>
        </w:tc>
        <w:tc>
          <w:tcPr>
            <w:tcW w:w="38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视供应商送达服务量配置合理数量的电话送达服务人员，提供专业规范的电话、电子送达服务，保证送达时效。</w:t>
            </w:r>
          </w:p>
        </w:tc>
      </w:tr>
      <w:tr>
        <w:tblPrEx>
          <w:tblCellMar>
            <w:top w:w="0" w:type="dxa"/>
            <w:left w:w="108" w:type="dxa"/>
            <w:bottom w:w="0" w:type="dxa"/>
            <w:right w:w="108" w:type="dxa"/>
          </w:tblCellMar>
        </w:tblPrEx>
        <w:trPr>
          <w:trHeight w:val="780" w:hRule="atLeast"/>
        </w:trPr>
        <w:tc>
          <w:tcPr>
            <w:tcW w:w="46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w:t>
            </w:r>
          </w:p>
        </w:tc>
        <w:tc>
          <w:tcPr>
            <w:tcW w:w="70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业务流程管理</w:t>
            </w:r>
          </w:p>
        </w:tc>
        <w:tc>
          <w:tcPr>
            <w:tcW w:w="3827" w:type="pct"/>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协助制定集约送达管理制度系列文件保障集约化送达业务流程规范有序。</w:t>
            </w:r>
          </w:p>
        </w:tc>
      </w:tr>
      <w:tr>
        <w:tblPrEx>
          <w:tblCellMar>
            <w:top w:w="0" w:type="dxa"/>
            <w:left w:w="108" w:type="dxa"/>
            <w:bottom w:w="0" w:type="dxa"/>
            <w:right w:w="108" w:type="dxa"/>
          </w:tblCellMar>
        </w:tblPrEx>
        <w:trPr>
          <w:trHeight w:val="780" w:hRule="atLeast"/>
        </w:trPr>
        <w:tc>
          <w:tcPr>
            <w:tcW w:w="463"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rPr>
            </w:pPr>
          </w:p>
        </w:tc>
        <w:tc>
          <w:tcPr>
            <w:tcW w:w="70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rPr>
            </w:pPr>
          </w:p>
        </w:tc>
        <w:tc>
          <w:tcPr>
            <w:tcW w:w="3827"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cs="宋体"/>
                <w:color w:val="000000"/>
              </w:rPr>
            </w:pPr>
          </w:p>
        </w:tc>
      </w:tr>
    </w:tbl>
    <w:p>
      <w:pPr>
        <w:spacing w:line="360" w:lineRule="auto"/>
        <w:ind w:firstLine="480" w:firstLineChars="200"/>
        <w:rPr>
          <w:b/>
          <w:bCs/>
          <w:sz w:val="24"/>
        </w:rPr>
      </w:pPr>
      <w:r>
        <w:rPr>
          <w:rFonts w:ascii="Segoe UI Symbol" w:hAnsi="Segoe UI Symbol" w:cs="Segoe UI Symbol"/>
          <w:sz w:val="24"/>
        </w:rPr>
        <w:t>★</w:t>
      </w:r>
      <w:r>
        <w:rPr>
          <w:rFonts w:hint="eastAsia"/>
          <w:b/>
          <w:bCs/>
          <w:sz w:val="24"/>
        </w:rPr>
        <w:t>1.</w:t>
      </w:r>
      <w:r>
        <w:rPr>
          <w:b/>
          <w:bCs/>
          <w:sz w:val="24"/>
        </w:rPr>
        <w:t>人民法院送达</w:t>
      </w:r>
      <w:r>
        <w:rPr>
          <w:rFonts w:hint="eastAsia"/>
          <w:b/>
          <w:bCs/>
          <w:sz w:val="24"/>
        </w:rPr>
        <w:t>平台对接</w:t>
      </w:r>
    </w:p>
    <w:p>
      <w:pPr>
        <w:spacing w:line="360" w:lineRule="auto"/>
        <w:ind w:firstLine="480" w:firstLineChars="200"/>
        <w:rPr>
          <w:sz w:val="24"/>
        </w:rPr>
      </w:pPr>
      <w:r>
        <w:rPr>
          <w:rFonts w:hint="eastAsia"/>
          <w:sz w:val="24"/>
        </w:rPr>
        <w:t>1.1</w:t>
      </w:r>
      <w:r>
        <w:rPr>
          <w:rFonts w:hint="eastAsia"/>
          <w:sz w:val="24"/>
          <w:lang w:eastAsia="zh-Hans"/>
        </w:rPr>
        <w:t>系统</w:t>
      </w:r>
      <w:r>
        <w:rPr>
          <w:rFonts w:hint="eastAsia"/>
          <w:sz w:val="24"/>
        </w:rPr>
        <w:t>支持与</w:t>
      </w:r>
      <w:r>
        <w:rPr>
          <w:sz w:val="24"/>
        </w:rPr>
        <w:t>人民法院送达</w:t>
      </w:r>
      <w:r>
        <w:rPr>
          <w:rFonts w:hint="eastAsia"/>
          <w:sz w:val="24"/>
        </w:rPr>
        <w:t>平台对接，支持法官从内网办案系统发起送达任务，并可以实现与业务系统无切换账户的登陆，进行</w:t>
      </w:r>
      <w:r>
        <w:rPr>
          <w:rFonts w:hint="eastAsia"/>
          <w:sz w:val="24"/>
          <w:lang w:eastAsia="zh-Hans"/>
        </w:rPr>
        <w:t>送达</w:t>
      </w:r>
      <w:r>
        <w:rPr>
          <w:rFonts w:hint="eastAsia"/>
          <w:sz w:val="24"/>
        </w:rPr>
        <w:t>任务推送和</w:t>
      </w:r>
      <w:r>
        <w:rPr>
          <w:rFonts w:hint="eastAsia"/>
          <w:sz w:val="24"/>
          <w:lang w:eastAsia="zh-Hans"/>
        </w:rPr>
        <w:t>送达</w:t>
      </w:r>
      <w:r>
        <w:rPr>
          <w:rFonts w:hint="eastAsia"/>
          <w:sz w:val="24"/>
        </w:rPr>
        <w:t>结果查询。</w:t>
      </w:r>
    </w:p>
    <w:p>
      <w:pPr>
        <w:spacing w:line="360" w:lineRule="auto"/>
        <w:ind w:firstLine="480" w:firstLineChars="200"/>
        <w:rPr>
          <w:sz w:val="24"/>
        </w:rPr>
      </w:pPr>
      <w:r>
        <w:rPr>
          <w:rFonts w:hint="eastAsia"/>
          <w:sz w:val="24"/>
        </w:rPr>
        <w:t>1.2通过送达业务系统执行送达的数据可同步传送至</w:t>
      </w:r>
      <w:r>
        <w:rPr>
          <w:rFonts w:hint="eastAsia"/>
          <w:sz w:val="24"/>
          <w:lang w:eastAsia="zh-Hans"/>
        </w:rPr>
        <w:t>最高人民法院</w:t>
      </w:r>
      <w:r>
        <w:rPr>
          <w:rFonts w:hint="eastAsia"/>
          <w:sz w:val="24"/>
        </w:rPr>
        <w:t>质效平台。送达任务</w:t>
      </w:r>
      <w:r>
        <w:rPr>
          <w:rFonts w:hint="eastAsia"/>
          <w:sz w:val="24"/>
          <w:lang w:eastAsia="zh-Hans"/>
        </w:rPr>
        <w:t>完结</w:t>
      </w:r>
      <w:r>
        <w:rPr>
          <w:rFonts w:hint="eastAsia"/>
          <w:sz w:val="24"/>
        </w:rPr>
        <w:t>后</w:t>
      </w:r>
      <w:r>
        <w:rPr>
          <w:rFonts w:hint="eastAsia"/>
          <w:sz w:val="24"/>
          <w:lang w:eastAsia="zh-Hans"/>
        </w:rPr>
        <w:t>数据</w:t>
      </w:r>
      <w:r>
        <w:rPr>
          <w:rFonts w:hint="eastAsia"/>
          <w:sz w:val="24"/>
        </w:rPr>
        <w:t>可返回到</w:t>
      </w:r>
      <w:r>
        <w:rPr>
          <w:sz w:val="24"/>
        </w:rPr>
        <w:t>人民法院送达</w:t>
      </w:r>
      <w:r>
        <w:rPr>
          <w:rFonts w:hint="eastAsia"/>
          <w:sz w:val="24"/>
        </w:rPr>
        <w:t>平台，支持法官从内网</w:t>
      </w:r>
      <w:r>
        <w:rPr>
          <w:rFonts w:hint="eastAsia"/>
          <w:sz w:val="24"/>
          <w:lang w:eastAsia="zh-Hans"/>
        </w:rPr>
        <w:t>办案系统</w:t>
      </w:r>
      <w:r>
        <w:rPr>
          <w:rFonts w:hint="eastAsia"/>
          <w:sz w:val="24"/>
        </w:rPr>
        <w:t>登陆进行查看和下载。</w:t>
      </w:r>
    </w:p>
    <w:p>
      <w:pPr>
        <w:spacing w:line="360" w:lineRule="auto"/>
        <w:ind w:firstLine="482" w:firstLineChars="200"/>
        <w:rPr>
          <w:b/>
          <w:bCs/>
          <w:sz w:val="24"/>
        </w:rPr>
      </w:pPr>
      <w:r>
        <w:rPr>
          <w:rFonts w:hint="eastAsia"/>
          <w:b/>
          <w:bCs/>
          <w:sz w:val="24"/>
        </w:rPr>
        <w:t>2.集约化送达业务系统</w:t>
      </w:r>
    </w:p>
    <w:p>
      <w:pPr>
        <w:spacing w:line="360" w:lineRule="auto"/>
        <w:ind w:firstLine="480" w:firstLineChars="200"/>
        <w:rPr>
          <w:sz w:val="24"/>
        </w:rPr>
      </w:pPr>
      <w:r>
        <w:rPr>
          <w:rFonts w:hint="eastAsia"/>
          <w:sz w:val="24"/>
        </w:rPr>
        <w:t>2.1集约化送达平台功能包括：电话送达功能、电子送达功能、</w:t>
      </w:r>
      <w:r>
        <w:rPr>
          <w:sz w:val="24"/>
        </w:rPr>
        <w:t>邮寄送达</w:t>
      </w:r>
      <w:r>
        <w:rPr>
          <w:rFonts w:hint="eastAsia"/>
          <w:sz w:val="24"/>
        </w:rPr>
        <w:t>功能等子模块服务功能以及</w:t>
      </w:r>
      <w:r>
        <w:rPr>
          <w:rFonts w:hint="eastAsia"/>
          <w:sz w:val="24"/>
          <w:lang w:eastAsia="zh-Hans"/>
        </w:rPr>
        <w:t>送达任务相关的</w:t>
      </w:r>
      <w:r>
        <w:rPr>
          <w:rFonts w:hint="eastAsia"/>
          <w:sz w:val="24"/>
        </w:rPr>
        <w:t>查询功能和管理功能。</w:t>
      </w:r>
    </w:p>
    <w:p>
      <w:pPr>
        <w:spacing w:line="360" w:lineRule="auto"/>
        <w:ind w:firstLine="480" w:firstLineChars="200"/>
        <w:rPr>
          <w:sz w:val="24"/>
        </w:rPr>
      </w:pPr>
      <w:r>
        <w:rPr>
          <w:rFonts w:hint="eastAsia"/>
          <w:sz w:val="24"/>
        </w:rPr>
        <w:t>2.2系统支持</w:t>
      </w:r>
      <w:r>
        <w:rPr>
          <w:rFonts w:hint="eastAsia"/>
          <w:sz w:val="24"/>
          <w:lang w:eastAsia="zh-Hans"/>
        </w:rPr>
        <w:t>批量立卷</w:t>
      </w:r>
      <w:r>
        <w:rPr>
          <w:sz w:val="24"/>
          <w:lang w:eastAsia="zh-Hans"/>
        </w:rPr>
        <w:t>，</w:t>
      </w:r>
      <w:r>
        <w:rPr>
          <w:rFonts w:hint="eastAsia"/>
          <w:sz w:val="24"/>
        </w:rPr>
        <w:t>法官推送的案件</w:t>
      </w:r>
      <w:r>
        <w:rPr>
          <w:rFonts w:hint="eastAsia"/>
          <w:sz w:val="24"/>
          <w:lang w:eastAsia="zh-Hans"/>
        </w:rPr>
        <w:t>可以批量进行立卷</w:t>
      </w:r>
      <w:r>
        <w:rPr>
          <w:sz w:val="24"/>
          <w:lang w:eastAsia="zh-Hans"/>
        </w:rPr>
        <w:t>，</w:t>
      </w:r>
      <w:r>
        <w:rPr>
          <w:rFonts w:hint="eastAsia"/>
          <w:sz w:val="24"/>
        </w:rPr>
        <w:t>通过</w:t>
      </w:r>
      <w:r>
        <w:rPr>
          <w:sz w:val="24"/>
        </w:rPr>
        <w:t>人民法院送达</w:t>
      </w:r>
      <w:r>
        <w:rPr>
          <w:rFonts w:hint="eastAsia"/>
          <w:sz w:val="24"/>
        </w:rPr>
        <w:t>平台进行送达信息</w:t>
      </w:r>
      <w:r>
        <w:rPr>
          <w:rFonts w:hint="eastAsia"/>
          <w:sz w:val="24"/>
          <w:lang w:eastAsia="zh-Hans"/>
        </w:rPr>
        <w:t>和送达</w:t>
      </w:r>
      <w:r>
        <w:rPr>
          <w:rFonts w:hint="eastAsia"/>
          <w:sz w:val="24"/>
        </w:rPr>
        <w:t>文书的推送，在业务系统完成全流程的送达工作。</w:t>
      </w:r>
    </w:p>
    <w:p>
      <w:pPr>
        <w:spacing w:line="360" w:lineRule="auto"/>
        <w:ind w:firstLine="480" w:firstLineChars="200"/>
        <w:rPr>
          <w:sz w:val="24"/>
        </w:rPr>
      </w:pPr>
      <w:r>
        <w:rPr>
          <w:rFonts w:hint="eastAsia"/>
          <w:sz w:val="24"/>
        </w:rPr>
        <w:t>2.3系统支持文书从办案系统推送、</w:t>
      </w:r>
      <w:r>
        <w:rPr>
          <w:rFonts w:hint="eastAsia"/>
          <w:sz w:val="24"/>
          <w:lang w:eastAsia="zh-Hans"/>
        </w:rPr>
        <w:t>文书</w:t>
      </w:r>
      <w:r>
        <w:rPr>
          <w:rFonts w:hint="eastAsia"/>
          <w:sz w:val="24"/>
        </w:rPr>
        <w:t>本地上传、文书在线制作等功能，</w:t>
      </w:r>
      <w:r>
        <w:rPr>
          <w:rFonts w:hint="eastAsia"/>
          <w:sz w:val="24"/>
          <w:lang w:eastAsia="zh-Hans"/>
        </w:rPr>
        <w:t>支持</w:t>
      </w:r>
      <w:r>
        <w:rPr>
          <w:rFonts w:hint="eastAsia"/>
          <w:sz w:val="24"/>
        </w:rPr>
        <w:t>一次送达任务挂接多份送达文书，方便法官</w:t>
      </w:r>
      <w:r>
        <w:rPr>
          <w:rFonts w:hint="eastAsia"/>
          <w:sz w:val="24"/>
          <w:lang w:eastAsia="zh-Hans"/>
        </w:rPr>
        <w:t>创建送达任务</w:t>
      </w:r>
      <w:r>
        <w:rPr>
          <w:rFonts w:hint="eastAsia"/>
          <w:sz w:val="24"/>
        </w:rPr>
        <w:t>；要求</w:t>
      </w:r>
      <w:r>
        <w:rPr>
          <w:rFonts w:hint="eastAsia"/>
          <w:sz w:val="24"/>
          <w:lang w:eastAsia="zh-Hans"/>
        </w:rPr>
        <w:t>对送达工作</w:t>
      </w:r>
      <w:r>
        <w:rPr>
          <w:rFonts w:hint="eastAsia"/>
          <w:sz w:val="24"/>
        </w:rPr>
        <w:t>进行任务式管理，支持任务的增删改查，支持对多个受送达人同时送达、多次送达。</w:t>
      </w:r>
    </w:p>
    <w:p>
      <w:pPr>
        <w:spacing w:line="360" w:lineRule="auto"/>
        <w:ind w:firstLine="480" w:firstLineChars="200"/>
        <w:rPr>
          <w:sz w:val="24"/>
        </w:rPr>
      </w:pPr>
      <w:r>
        <w:rPr>
          <w:rFonts w:hint="eastAsia"/>
          <w:sz w:val="24"/>
        </w:rPr>
        <w:t>2.4系统支持</w:t>
      </w:r>
      <w:r>
        <w:rPr>
          <w:rFonts w:hint="eastAsia"/>
          <w:sz w:val="24"/>
          <w:lang w:eastAsia="zh-Hans"/>
        </w:rPr>
        <w:t>法官</w:t>
      </w:r>
      <w:r>
        <w:rPr>
          <w:sz w:val="24"/>
          <w:lang w:eastAsia="zh-Hans"/>
        </w:rPr>
        <w:t>、</w:t>
      </w:r>
      <w:r>
        <w:rPr>
          <w:rFonts w:hint="eastAsia"/>
          <w:sz w:val="24"/>
          <w:lang w:eastAsia="zh-Hans"/>
        </w:rPr>
        <w:t>书记员对已推送的送达任务进度进行跟踪</w:t>
      </w:r>
      <w:r>
        <w:rPr>
          <w:sz w:val="24"/>
          <w:lang w:eastAsia="zh-Hans"/>
        </w:rPr>
        <w:t>，</w:t>
      </w:r>
      <w:r>
        <w:rPr>
          <w:rFonts w:hint="eastAsia"/>
          <w:sz w:val="24"/>
        </w:rPr>
        <w:t>可以查询全部送达任务情况，送达任务分为待审核、送达中和已完成三种</w:t>
      </w:r>
      <w:r>
        <w:rPr>
          <w:rFonts w:hint="eastAsia"/>
          <w:sz w:val="24"/>
          <w:lang w:eastAsia="zh-Hans"/>
        </w:rPr>
        <w:t>状态</w:t>
      </w:r>
      <w:r>
        <w:rPr>
          <w:rFonts w:hint="eastAsia"/>
          <w:sz w:val="24"/>
        </w:rPr>
        <w:t>；</w:t>
      </w:r>
      <w:r>
        <w:rPr>
          <w:rFonts w:hint="eastAsia"/>
          <w:sz w:val="24"/>
          <w:lang w:eastAsia="zh-Hans"/>
        </w:rPr>
        <w:t>待审核</w:t>
      </w:r>
      <w:r>
        <w:rPr>
          <w:rFonts w:hint="eastAsia"/>
          <w:sz w:val="24"/>
        </w:rPr>
        <w:t>即为已发送给书记员，书记员还未审核通过的送达任务；送达中即为书记员已</w:t>
      </w:r>
      <w:r>
        <w:rPr>
          <w:rFonts w:hint="eastAsia"/>
          <w:sz w:val="24"/>
          <w:lang w:eastAsia="zh-Hans"/>
        </w:rPr>
        <w:t>审核</w:t>
      </w:r>
      <w:r>
        <w:rPr>
          <w:rFonts w:hint="eastAsia"/>
          <w:sz w:val="24"/>
        </w:rPr>
        <w:t>通过，正在处理中的送达任务</w:t>
      </w:r>
      <w:r>
        <w:rPr>
          <w:sz w:val="24"/>
        </w:rPr>
        <w:t>；</w:t>
      </w:r>
      <w:r>
        <w:rPr>
          <w:rFonts w:hint="eastAsia"/>
          <w:sz w:val="24"/>
        </w:rPr>
        <w:t>已完成即为已经成功送达给当事人的送达任务</w:t>
      </w:r>
      <w:r>
        <w:rPr>
          <w:sz w:val="24"/>
        </w:rPr>
        <w:t>；</w:t>
      </w:r>
      <w:r>
        <w:rPr>
          <w:rFonts w:hint="eastAsia"/>
          <w:sz w:val="24"/>
          <w:lang w:eastAsia="zh-Hans"/>
        </w:rPr>
        <w:t>系统支持查看</w:t>
      </w:r>
      <w:r>
        <w:rPr>
          <w:rFonts w:hint="eastAsia"/>
          <w:sz w:val="24"/>
        </w:rPr>
        <w:t>当前任务的处理过程详情，包括操作人、操作时间节点、操作结果、回证生成情况等，</w:t>
      </w:r>
      <w:r>
        <w:rPr>
          <w:rFonts w:hint="eastAsia"/>
          <w:sz w:val="24"/>
          <w:lang w:eastAsia="zh-Hans"/>
        </w:rPr>
        <w:t>可以下载回证文件</w:t>
      </w:r>
      <w:r>
        <w:rPr>
          <w:sz w:val="24"/>
          <w:lang w:eastAsia="zh-Hans"/>
        </w:rPr>
        <w:t>；</w:t>
      </w:r>
      <w:r>
        <w:rPr>
          <w:rFonts w:hint="eastAsia"/>
          <w:sz w:val="24"/>
        </w:rPr>
        <w:t>提供送达报告生成功能，</w:t>
      </w:r>
      <w:r>
        <w:rPr>
          <w:rFonts w:hint="eastAsia"/>
          <w:sz w:val="24"/>
          <w:lang w:eastAsia="zh-Hans"/>
        </w:rPr>
        <w:t>案件关联的</w:t>
      </w:r>
      <w:r>
        <w:rPr>
          <w:rFonts w:hint="eastAsia"/>
          <w:sz w:val="24"/>
        </w:rPr>
        <w:t>所有送达任务报告书</w:t>
      </w:r>
      <w:r>
        <w:rPr>
          <w:rFonts w:hint="eastAsia"/>
          <w:sz w:val="24"/>
          <w:lang w:eastAsia="zh-Hans"/>
        </w:rPr>
        <w:t>均可进行</w:t>
      </w:r>
      <w:r>
        <w:rPr>
          <w:rFonts w:hint="eastAsia"/>
          <w:sz w:val="24"/>
        </w:rPr>
        <w:t>下载操作，将文件保存在本地电脑。</w:t>
      </w:r>
    </w:p>
    <w:p>
      <w:pPr>
        <w:spacing w:line="360" w:lineRule="auto"/>
        <w:ind w:firstLine="480" w:firstLineChars="200"/>
        <w:rPr>
          <w:sz w:val="24"/>
        </w:rPr>
      </w:pPr>
      <w:r>
        <w:rPr>
          <w:rFonts w:hint="eastAsia"/>
          <w:sz w:val="24"/>
        </w:rPr>
        <w:t>2.5数据统计功能：全院报表、各庭报表；</w:t>
      </w:r>
      <w:r>
        <w:rPr>
          <w:rFonts w:hint="eastAsia" w:ascii="宋体" w:hAnsi="宋体"/>
          <w:bCs/>
          <w:sz w:val="24"/>
          <w:szCs w:val="24"/>
        </w:rPr>
        <w:t>包括每日、每月完成送达的案件数量、送达人次、送达文书类型、平均送达时长，以及电子送达、电话送达、邮寄送达、上门送达、公告送达等送达方式的适用率和成功率等，为法院评估辅助送达服务给予全方位数据纬度参考。</w:t>
      </w:r>
      <w:r>
        <w:rPr>
          <w:rFonts w:hint="eastAsia"/>
          <w:sz w:val="24"/>
        </w:rPr>
        <w:t xml:space="preserve"> </w:t>
      </w:r>
    </w:p>
    <w:p>
      <w:pPr>
        <w:spacing w:line="360" w:lineRule="auto"/>
        <w:ind w:firstLine="480" w:firstLineChars="200"/>
        <w:rPr>
          <w:sz w:val="24"/>
        </w:rPr>
      </w:pPr>
      <w:r>
        <w:rPr>
          <w:rFonts w:hint="eastAsia"/>
          <w:sz w:val="24"/>
        </w:rPr>
        <w:t>2.6权限管理功能：领导可以查询管辖权限内所有</w:t>
      </w:r>
      <w:r>
        <w:rPr>
          <w:rFonts w:hint="eastAsia"/>
          <w:sz w:val="24"/>
          <w:lang w:eastAsia="zh-Hans"/>
        </w:rPr>
        <w:t>送达任务</w:t>
      </w:r>
      <w:r>
        <w:rPr>
          <w:rFonts w:hint="eastAsia"/>
          <w:sz w:val="24"/>
        </w:rPr>
        <w:t>的送达数据统计，法院送达监管部门可对全院正在进行流转的</w:t>
      </w:r>
      <w:r>
        <w:rPr>
          <w:rFonts w:hint="eastAsia"/>
          <w:sz w:val="24"/>
          <w:lang w:eastAsia="zh-Hans"/>
        </w:rPr>
        <w:t>送达任务</w:t>
      </w:r>
      <w:r>
        <w:rPr>
          <w:rFonts w:hint="eastAsia"/>
          <w:sz w:val="24"/>
        </w:rPr>
        <w:t>和已办结的</w:t>
      </w:r>
      <w:r>
        <w:rPr>
          <w:rFonts w:hint="eastAsia"/>
          <w:sz w:val="24"/>
          <w:lang w:eastAsia="zh-Hans"/>
        </w:rPr>
        <w:t>送达任务</w:t>
      </w:r>
      <w:r>
        <w:rPr>
          <w:rFonts w:hint="eastAsia"/>
          <w:sz w:val="24"/>
        </w:rPr>
        <w:t>进行列表查看和送达详情查阅。</w:t>
      </w:r>
    </w:p>
    <w:p>
      <w:pPr>
        <w:spacing w:line="360" w:lineRule="auto"/>
        <w:ind w:firstLine="480" w:firstLineChars="200"/>
        <w:rPr>
          <w:sz w:val="24"/>
        </w:rPr>
      </w:pPr>
      <w:r>
        <w:rPr>
          <w:rFonts w:hint="eastAsia"/>
          <w:sz w:val="24"/>
        </w:rPr>
        <w:t>2.7</w:t>
      </w:r>
      <w:r>
        <w:rPr>
          <w:rFonts w:hint="eastAsia"/>
          <w:sz w:val="24"/>
          <w:lang w:eastAsia="zh-Hans"/>
        </w:rPr>
        <w:t>文书在线制作</w:t>
      </w:r>
      <w:r>
        <w:rPr>
          <w:rFonts w:hint="eastAsia"/>
          <w:sz w:val="24"/>
        </w:rPr>
        <w:t>功能：自动抽取文书基本标签信息，实现一键文书生成，并与电子签章系统进行对接，实现在线加盖电子签章。送达报告书中应包含</w:t>
      </w:r>
      <w:r>
        <w:rPr>
          <w:rFonts w:hint="eastAsia"/>
          <w:sz w:val="24"/>
          <w:lang w:eastAsia="zh-Hans"/>
        </w:rPr>
        <w:t>本次送达任务</w:t>
      </w:r>
      <w:r>
        <w:rPr>
          <w:rFonts w:hint="eastAsia"/>
          <w:sz w:val="24"/>
        </w:rPr>
        <w:t>电话通知记录、短信发送记录、向受送达人发送的短信记录截图，截图包括短信发送时间、发送状态、短信内容；邮寄送达的投递记录、邮寄状态、签收状态等。外出送达包括外出送达的记录、上传拍照以及定位显示等记录；公告送达包含公告发布的截图和发布地址等详细内容。</w:t>
      </w:r>
    </w:p>
    <w:p>
      <w:pPr>
        <w:spacing w:line="360" w:lineRule="auto"/>
        <w:ind w:firstLine="482" w:firstLineChars="200"/>
        <w:rPr>
          <w:b/>
          <w:bCs/>
          <w:sz w:val="24"/>
        </w:rPr>
      </w:pPr>
      <w:r>
        <w:rPr>
          <w:rFonts w:hint="eastAsia"/>
          <w:b/>
          <w:bCs/>
          <w:sz w:val="24"/>
        </w:rPr>
        <w:t>3.大数据平台对接</w:t>
      </w:r>
    </w:p>
    <w:p>
      <w:pPr>
        <w:spacing w:line="360" w:lineRule="auto"/>
        <w:ind w:firstLine="480" w:firstLineChars="200"/>
        <w:rPr>
          <w:sz w:val="24"/>
        </w:rPr>
      </w:pPr>
      <w:r>
        <w:rPr>
          <w:rFonts w:hint="eastAsia"/>
          <w:sz w:val="24"/>
        </w:rPr>
        <w:t>3.1提供与</w:t>
      </w:r>
      <w:r>
        <w:rPr>
          <w:sz w:val="24"/>
        </w:rPr>
        <w:t>人民法院送达</w:t>
      </w:r>
      <w:r>
        <w:rPr>
          <w:rFonts w:hint="eastAsia"/>
          <w:sz w:val="24"/>
        </w:rPr>
        <w:t>平台大数据分析功能的对接。</w:t>
      </w:r>
    </w:p>
    <w:p>
      <w:pPr>
        <w:spacing w:line="360" w:lineRule="auto"/>
        <w:ind w:firstLine="480" w:firstLineChars="200"/>
        <w:rPr>
          <w:sz w:val="24"/>
        </w:rPr>
      </w:pPr>
      <w:r>
        <w:rPr>
          <w:rFonts w:hint="eastAsia"/>
          <w:sz w:val="24"/>
        </w:rPr>
        <w:t>3.2要求实现可以对法官创建的送达任务中的信息进行核实，</w:t>
      </w:r>
      <w:r>
        <w:rPr>
          <w:rFonts w:hint="eastAsia"/>
          <w:sz w:val="24"/>
          <w:lang w:eastAsia="zh-Hans"/>
        </w:rPr>
        <w:t>有</w:t>
      </w:r>
      <w:r>
        <w:rPr>
          <w:rFonts w:hint="eastAsia"/>
          <w:sz w:val="24"/>
        </w:rPr>
        <w:t>信息缺失</w:t>
      </w:r>
      <w:r>
        <w:rPr>
          <w:rFonts w:hint="eastAsia"/>
          <w:sz w:val="24"/>
          <w:lang w:eastAsia="zh-Hans"/>
        </w:rPr>
        <w:t>时</w:t>
      </w:r>
      <w:r>
        <w:rPr>
          <w:rFonts w:hint="eastAsia"/>
          <w:sz w:val="24"/>
        </w:rPr>
        <w:t>进行</w:t>
      </w:r>
      <w:r>
        <w:rPr>
          <w:rFonts w:hint="eastAsia"/>
          <w:sz w:val="24"/>
          <w:lang w:eastAsia="zh-Hans"/>
        </w:rPr>
        <w:t>修改</w:t>
      </w:r>
      <w:r>
        <w:rPr>
          <w:sz w:val="24"/>
          <w:lang w:eastAsia="zh-Hans"/>
        </w:rPr>
        <w:t>；</w:t>
      </w:r>
      <w:r>
        <w:rPr>
          <w:rFonts w:hint="eastAsia"/>
          <w:sz w:val="24"/>
        </w:rPr>
        <w:t>当事人失联情况下，通过制作协查函</w:t>
      </w:r>
      <w:r>
        <w:rPr>
          <w:sz w:val="24"/>
        </w:rPr>
        <w:t>，</w:t>
      </w:r>
      <w:r>
        <w:rPr>
          <w:rFonts w:hint="eastAsia"/>
          <w:sz w:val="24"/>
        </w:rPr>
        <w:t>与最高院人口信息库进行比对查询。</w:t>
      </w:r>
    </w:p>
    <w:p>
      <w:pPr>
        <w:spacing w:line="360" w:lineRule="auto"/>
        <w:ind w:firstLine="480" w:firstLineChars="200"/>
        <w:rPr>
          <w:sz w:val="24"/>
        </w:rPr>
      </w:pPr>
      <w:r>
        <w:rPr>
          <w:rFonts w:hint="eastAsia"/>
          <w:sz w:val="24"/>
        </w:rPr>
        <w:t>3.3要求实现</w:t>
      </w:r>
      <w:r>
        <w:rPr>
          <w:rFonts w:hint="eastAsia"/>
          <w:sz w:val="24"/>
          <w:lang w:eastAsia="zh-Hans"/>
        </w:rPr>
        <w:t>可以</w:t>
      </w:r>
      <w:r>
        <w:rPr>
          <w:rFonts w:hint="eastAsia"/>
          <w:sz w:val="24"/>
        </w:rPr>
        <w:t>根据与当事人的沟通情况</w:t>
      </w:r>
      <w:r>
        <w:rPr>
          <w:rFonts w:hint="eastAsia"/>
          <w:sz w:val="24"/>
          <w:lang w:eastAsia="zh-Hans"/>
        </w:rPr>
        <w:t>变更</w:t>
      </w:r>
      <w:r>
        <w:rPr>
          <w:rFonts w:hint="eastAsia"/>
          <w:sz w:val="24"/>
        </w:rPr>
        <w:t>送达方式，</w:t>
      </w:r>
      <w:r>
        <w:rPr>
          <w:rFonts w:hint="eastAsia"/>
          <w:sz w:val="24"/>
          <w:lang w:eastAsia="zh-Hans"/>
        </w:rPr>
        <w:t>进行</w:t>
      </w:r>
      <w:r>
        <w:rPr>
          <w:rFonts w:hint="eastAsia"/>
          <w:sz w:val="24"/>
        </w:rPr>
        <w:t>送达过程跟踪</w:t>
      </w:r>
      <w:r>
        <w:rPr>
          <w:sz w:val="24"/>
        </w:rPr>
        <w:t>、</w:t>
      </w:r>
      <w:r>
        <w:rPr>
          <w:rFonts w:hint="eastAsia"/>
          <w:sz w:val="24"/>
        </w:rPr>
        <w:t>送达结果登记</w:t>
      </w:r>
      <w:r>
        <w:rPr>
          <w:rFonts w:hint="eastAsia"/>
          <w:sz w:val="24"/>
          <w:lang w:eastAsia="zh-Hans"/>
        </w:rPr>
        <w:t>等</w:t>
      </w:r>
      <w:r>
        <w:rPr>
          <w:rFonts w:hint="eastAsia"/>
          <w:sz w:val="24"/>
        </w:rPr>
        <w:t>。并根据</w:t>
      </w:r>
      <w:r>
        <w:rPr>
          <w:rFonts w:hint="eastAsia"/>
          <w:sz w:val="24"/>
          <w:lang w:eastAsia="zh-Hans"/>
        </w:rPr>
        <w:t>与</w:t>
      </w:r>
      <w:r>
        <w:rPr>
          <w:rFonts w:hint="eastAsia"/>
          <w:sz w:val="24"/>
        </w:rPr>
        <w:t>当事人沟通的结果，记录当事人</w:t>
      </w:r>
      <w:r>
        <w:rPr>
          <w:rFonts w:hint="eastAsia"/>
          <w:sz w:val="24"/>
          <w:lang w:eastAsia="zh-Hans"/>
        </w:rPr>
        <w:t>提供的送达</w:t>
      </w:r>
      <w:r>
        <w:rPr>
          <w:rFonts w:hint="eastAsia"/>
          <w:sz w:val="24"/>
        </w:rPr>
        <w:t>地址，任务成功后自动生成报告书，并返回到内网供法官团队进行下载、归档。</w:t>
      </w:r>
    </w:p>
    <w:p>
      <w:pPr>
        <w:spacing w:line="360" w:lineRule="auto"/>
        <w:ind w:firstLine="482" w:firstLineChars="200"/>
        <w:rPr>
          <w:b/>
          <w:bCs/>
          <w:sz w:val="24"/>
        </w:rPr>
      </w:pPr>
      <w:r>
        <w:rPr>
          <w:rFonts w:hint="eastAsia"/>
          <w:b/>
          <w:bCs/>
          <w:sz w:val="24"/>
        </w:rPr>
        <w:t>4.电话送达</w:t>
      </w:r>
    </w:p>
    <w:p>
      <w:pPr>
        <w:spacing w:line="360" w:lineRule="auto"/>
        <w:ind w:firstLine="480" w:firstLineChars="200"/>
        <w:rPr>
          <w:sz w:val="24"/>
        </w:rPr>
      </w:pPr>
      <w:r>
        <w:rPr>
          <w:rFonts w:hint="eastAsia"/>
          <w:sz w:val="24"/>
        </w:rPr>
        <w:t>4.1送达系统平台支持电话</w:t>
      </w:r>
      <w:r>
        <w:rPr>
          <w:rFonts w:hint="eastAsia"/>
          <w:sz w:val="24"/>
          <w:lang w:eastAsia="zh-Hans"/>
        </w:rPr>
        <w:t>送达专员进行</w:t>
      </w:r>
      <w:r>
        <w:rPr>
          <w:rFonts w:hint="eastAsia"/>
          <w:sz w:val="24"/>
        </w:rPr>
        <w:t>电话通知，</w:t>
      </w:r>
      <w:r>
        <w:rPr>
          <w:rFonts w:hint="eastAsia"/>
          <w:sz w:val="24"/>
          <w:lang w:eastAsia="zh-Hans"/>
        </w:rPr>
        <w:t>可以</w:t>
      </w:r>
      <w:r>
        <w:rPr>
          <w:rFonts w:hint="eastAsia"/>
          <w:sz w:val="24"/>
        </w:rPr>
        <w:t>在线播放、下载送达过程中与受送达人电话沟通的录音，电话</w:t>
      </w:r>
      <w:r>
        <w:rPr>
          <w:sz w:val="24"/>
        </w:rPr>
        <w:t>送达专员</w:t>
      </w:r>
      <w:r>
        <w:rPr>
          <w:rFonts w:hint="eastAsia"/>
          <w:sz w:val="24"/>
        </w:rPr>
        <w:t>针对当事人已清楚、完整地听取电话内容的，通话结束后支持</w:t>
      </w:r>
      <w:r>
        <w:rPr>
          <w:rFonts w:hint="eastAsia"/>
          <w:sz w:val="24"/>
          <w:lang w:eastAsia="zh-Hans"/>
        </w:rPr>
        <w:t>对本次</w:t>
      </w:r>
      <w:r>
        <w:rPr>
          <w:rFonts w:hint="eastAsia"/>
          <w:sz w:val="24"/>
        </w:rPr>
        <w:t>通话</w:t>
      </w:r>
      <w:r>
        <w:rPr>
          <w:rFonts w:hint="eastAsia"/>
          <w:sz w:val="24"/>
          <w:lang w:eastAsia="zh-Hans"/>
        </w:rPr>
        <w:t>进行</w:t>
      </w:r>
      <w:r>
        <w:rPr>
          <w:rFonts w:hint="eastAsia"/>
          <w:sz w:val="24"/>
        </w:rPr>
        <w:t>标签记录。</w:t>
      </w:r>
    </w:p>
    <w:p>
      <w:pPr>
        <w:spacing w:line="360" w:lineRule="auto"/>
        <w:ind w:firstLine="480" w:firstLineChars="200"/>
        <w:rPr>
          <w:sz w:val="24"/>
        </w:rPr>
      </w:pPr>
      <w:r>
        <w:rPr>
          <w:rFonts w:hint="eastAsia"/>
          <w:sz w:val="24"/>
        </w:rPr>
        <w:t>4.2电话送达专员与当事人首次沟通应包含如下信息。</w:t>
      </w:r>
    </w:p>
    <w:p>
      <w:pPr>
        <w:spacing w:line="360" w:lineRule="auto"/>
        <w:ind w:firstLine="480" w:firstLineChars="200"/>
        <w:rPr>
          <w:sz w:val="24"/>
        </w:rPr>
      </w:pPr>
      <w:r>
        <w:rPr>
          <w:rFonts w:hint="eastAsia"/>
          <w:sz w:val="24"/>
        </w:rPr>
        <w:t>1）确认通话对方身份是否为本人。</w:t>
      </w:r>
    </w:p>
    <w:p>
      <w:pPr>
        <w:spacing w:line="360" w:lineRule="auto"/>
        <w:ind w:firstLine="480" w:firstLineChars="200"/>
        <w:rPr>
          <w:sz w:val="24"/>
        </w:rPr>
      </w:pPr>
      <w:r>
        <w:rPr>
          <w:rFonts w:hint="eastAsia"/>
          <w:sz w:val="24"/>
        </w:rPr>
        <w:t>2）告知当事人案件的承办法官以及书记员姓名、联系电话。</w:t>
      </w:r>
    </w:p>
    <w:p>
      <w:pPr>
        <w:spacing w:line="360" w:lineRule="auto"/>
        <w:ind w:firstLine="480" w:firstLineChars="200"/>
        <w:rPr>
          <w:sz w:val="24"/>
        </w:rPr>
      </w:pPr>
      <w:r>
        <w:rPr>
          <w:rFonts w:hint="eastAsia"/>
          <w:sz w:val="24"/>
        </w:rPr>
        <w:t>3）要求当事人确认送达地址和送达方式，尽量引导其</w:t>
      </w:r>
      <w:r>
        <w:rPr>
          <w:rFonts w:hint="eastAsia"/>
          <w:sz w:val="24"/>
          <w:lang w:eastAsia="zh-Hans"/>
        </w:rPr>
        <w:t>接受</w:t>
      </w:r>
      <w:r>
        <w:rPr>
          <w:rFonts w:hint="eastAsia"/>
          <w:sz w:val="24"/>
        </w:rPr>
        <w:t>电子送达。</w:t>
      </w:r>
    </w:p>
    <w:p>
      <w:pPr>
        <w:spacing w:line="360" w:lineRule="auto"/>
        <w:ind w:firstLine="480" w:firstLineChars="200"/>
        <w:rPr>
          <w:sz w:val="24"/>
        </w:rPr>
      </w:pPr>
      <w:r>
        <w:rPr>
          <w:rFonts w:hint="eastAsia"/>
          <w:sz w:val="24"/>
        </w:rPr>
        <w:t>4）</w:t>
      </w:r>
      <w:r>
        <w:rPr>
          <w:rFonts w:hint="eastAsia"/>
          <w:sz w:val="24"/>
          <w:lang w:eastAsia="zh-Hans"/>
        </w:rPr>
        <w:t>如当事人要求到法院自取的</w:t>
      </w:r>
      <w:r>
        <w:rPr>
          <w:sz w:val="24"/>
          <w:lang w:eastAsia="zh-Hans"/>
        </w:rPr>
        <w:t>，</w:t>
      </w:r>
      <w:r>
        <w:rPr>
          <w:rFonts w:hint="eastAsia"/>
          <w:sz w:val="24"/>
        </w:rPr>
        <w:t>告知领取起诉状副本、出庭传票等诉讼文书的时间、地点，告知开庭时间、地点。</w:t>
      </w:r>
    </w:p>
    <w:p>
      <w:pPr>
        <w:spacing w:line="360" w:lineRule="auto"/>
        <w:ind w:firstLine="480" w:firstLineChars="200"/>
        <w:rPr>
          <w:sz w:val="24"/>
        </w:rPr>
      </w:pPr>
      <w:r>
        <w:rPr>
          <w:rFonts w:hint="eastAsia"/>
          <w:sz w:val="24"/>
        </w:rPr>
        <w:t>5）告知通话已被录音，不到庭参加诉讼的法律后果。</w:t>
      </w:r>
    </w:p>
    <w:p>
      <w:pPr>
        <w:spacing w:line="360" w:lineRule="auto"/>
        <w:ind w:firstLine="480" w:firstLineChars="200"/>
        <w:rPr>
          <w:sz w:val="24"/>
        </w:rPr>
      </w:pPr>
      <w:r>
        <w:rPr>
          <w:rFonts w:hint="eastAsia"/>
          <w:sz w:val="24"/>
        </w:rPr>
        <w:t>6）电话沟通当事人如遇不能一次拨通的情形，应于3日内拨打该号码不少于4次；如遇到关机情况，一天内必须上下午不少于2次；</w:t>
      </w:r>
      <w:r>
        <w:rPr>
          <w:rFonts w:hint="eastAsia"/>
          <w:sz w:val="24"/>
          <w:lang w:eastAsia="zh-Hans"/>
        </w:rPr>
        <w:t>如果</w:t>
      </w:r>
      <w:r>
        <w:rPr>
          <w:rFonts w:hint="eastAsia"/>
          <w:sz w:val="24"/>
        </w:rPr>
        <w:t>当事人</w:t>
      </w:r>
      <w:r>
        <w:rPr>
          <w:rFonts w:hint="eastAsia"/>
          <w:sz w:val="24"/>
          <w:lang w:eastAsia="zh-Hans"/>
        </w:rPr>
        <w:t>在通话中表示</w:t>
      </w:r>
      <w:r>
        <w:rPr>
          <w:rFonts w:hint="eastAsia"/>
          <w:sz w:val="24"/>
        </w:rPr>
        <w:t>同意电子送达，与当事人核实裁判文书的有效邮寄送达地址。录音的标注要包含：有效录音同意电子送达、同意上门领取、同意邮寄送达；无效录音包括无人接听、接听非本人、如有关机、停机、空号、暂停服务等应标注。</w:t>
      </w:r>
    </w:p>
    <w:p>
      <w:pPr>
        <w:spacing w:line="360" w:lineRule="auto"/>
        <w:ind w:firstLine="480" w:firstLineChars="200"/>
        <w:rPr>
          <w:sz w:val="24"/>
        </w:rPr>
      </w:pPr>
      <w:r>
        <w:rPr>
          <w:rFonts w:hint="eastAsia"/>
          <w:sz w:val="24"/>
        </w:rPr>
        <w:t>4.3系统内可实现三大运营商电话修复功能，简化申请流程，只需出具一次协查函即可受理。</w:t>
      </w:r>
    </w:p>
    <w:p>
      <w:pPr>
        <w:spacing w:line="360" w:lineRule="auto"/>
        <w:ind w:firstLine="480" w:firstLineChars="200"/>
        <w:rPr>
          <w:sz w:val="24"/>
        </w:rPr>
      </w:pPr>
      <w:r>
        <w:rPr>
          <w:rFonts w:hint="eastAsia"/>
          <w:sz w:val="24"/>
        </w:rPr>
        <w:t>4.4内网系统创建送达任务发起送达，送达报告实时反馈内网。</w:t>
      </w:r>
    </w:p>
    <w:p>
      <w:pPr>
        <w:spacing w:line="360" w:lineRule="auto"/>
        <w:ind w:firstLine="482" w:firstLineChars="200"/>
        <w:rPr>
          <w:b/>
          <w:bCs/>
          <w:sz w:val="24"/>
        </w:rPr>
      </w:pPr>
      <w:r>
        <w:rPr>
          <w:rFonts w:hint="eastAsia"/>
          <w:b/>
          <w:bCs/>
          <w:sz w:val="24"/>
        </w:rPr>
        <w:t>5.电子送达</w:t>
      </w:r>
    </w:p>
    <w:p>
      <w:pPr>
        <w:spacing w:line="360" w:lineRule="auto"/>
        <w:ind w:firstLine="480" w:firstLineChars="200"/>
        <w:rPr>
          <w:sz w:val="24"/>
        </w:rPr>
      </w:pPr>
      <w:r>
        <w:rPr>
          <w:rFonts w:hint="eastAsia"/>
          <w:sz w:val="24"/>
        </w:rPr>
        <w:t>5.1电子送达的渠道主要是手机短信等，当事人通过手机端查看接收和下载文书。</w:t>
      </w:r>
    </w:p>
    <w:p>
      <w:pPr>
        <w:spacing w:line="360" w:lineRule="auto"/>
        <w:ind w:firstLine="480" w:firstLineChars="200"/>
        <w:rPr>
          <w:sz w:val="24"/>
        </w:rPr>
      </w:pPr>
      <w:r>
        <w:rPr>
          <w:rFonts w:hint="eastAsia"/>
          <w:sz w:val="24"/>
        </w:rPr>
        <w:t>5.2选择</w:t>
      </w:r>
      <w:r>
        <w:rPr>
          <w:rFonts w:hint="eastAsia"/>
          <w:sz w:val="24"/>
          <w:lang w:eastAsia="zh-Hans"/>
        </w:rPr>
        <w:t>通话中确认的</w:t>
      </w:r>
      <w:r>
        <w:rPr>
          <w:rFonts w:hint="eastAsia"/>
          <w:sz w:val="24"/>
        </w:rPr>
        <w:t>电子送达</w:t>
      </w:r>
      <w:r>
        <w:rPr>
          <w:rFonts w:hint="eastAsia"/>
          <w:sz w:val="24"/>
          <w:lang w:eastAsia="zh-Hans"/>
        </w:rPr>
        <w:t>地址</w:t>
      </w:r>
      <w:r>
        <w:rPr>
          <w:rFonts w:hint="eastAsia"/>
          <w:sz w:val="24"/>
        </w:rPr>
        <w:t>进行送达，经过弹窗确认后，会看到发送成功的提示，该案件对所选当事人的电子送达发送成功。</w:t>
      </w:r>
    </w:p>
    <w:p>
      <w:pPr>
        <w:spacing w:line="360" w:lineRule="auto"/>
        <w:ind w:firstLine="480" w:firstLineChars="200"/>
        <w:rPr>
          <w:sz w:val="24"/>
        </w:rPr>
      </w:pPr>
      <w:r>
        <w:rPr>
          <w:rFonts w:hint="eastAsia"/>
          <w:sz w:val="24"/>
        </w:rPr>
        <w:t>5.3</w:t>
      </w:r>
      <w:r>
        <w:rPr>
          <w:rFonts w:hint="eastAsia"/>
          <w:sz w:val="24"/>
          <w:lang w:eastAsia="zh-Hans"/>
        </w:rPr>
        <w:t>系统</w:t>
      </w:r>
      <w:r>
        <w:rPr>
          <w:rFonts w:hint="eastAsia"/>
          <w:sz w:val="24"/>
        </w:rPr>
        <w:t>支持对</w:t>
      </w:r>
      <w:r>
        <w:rPr>
          <w:rFonts w:hint="eastAsia"/>
          <w:sz w:val="24"/>
          <w:lang w:eastAsia="zh-Hans"/>
        </w:rPr>
        <w:t>短信</w:t>
      </w:r>
      <w:r>
        <w:rPr>
          <w:rFonts w:hint="eastAsia"/>
          <w:sz w:val="24"/>
        </w:rPr>
        <w:t>发送</w:t>
      </w:r>
      <w:r>
        <w:rPr>
          <w:rFonts w:hint="eastAsia"/>
          <w:sz w:val="24"/>
          <w:lang w:eastAsia="zh-Hans"/>
        </w:rPr>
        <w:t>成功</w:t>
      </w:r>
      <w:r>
        <w:rPr>
          <w:rFonts w:hint="eastAsia"/>
          <w:sz w:val="24"/>
        </w:rPr>
        <w:t>的页面进行截图，记录发送的当事人、发送渠道、发送文书、发送时间</w:t>
      </w:r>
      <w:r>
        <w:rPr>
          <w:rFonts w:hint="eastAsia"/>
          <w:sz w:val="24"/>
          <w:lang w:eastAsia="zh-Hans"/>
        </w:rPr>
        <w:t>等</w:t>
      </w:r>
      <w:r>
        <w:rPr>
          <w:rFonts w:hint="eastAsia"/>
          <w:sz w:val="24"/>
        </w:rPr>
        <w:t>。</w:t>
      </w:r>
    </w:p>
    <w:p>
      <w:pPr>
        <w:spacing w:line="360" w:lineRule="auto"/>
        <w:ind w:firstLine="480" w:firstLineChars="200"/>
        <w:rPr>
          <w:sz w:val="24"/>
        </w:rPr>
      </w:pPr>
      <w:r>
        <w:rPr>
          <w:rFonts w:hint="eastAsia"/>
          <w:sz w:val="24"/>
        </w:rPr>
        <w:t>5.4案号管理：可以查询到每个案号对应的文书，每份文书对应的签收记录；文书管理，可以查询到每份文书的名称及对应的签收记录；送达记录，查看每份文书，发送记录及签收情况，方便查阅；对于已发送短信提醒的电子文书，进行记录，记录发送时间、接收人、接收号码、发送状态等信息。</w:t>
      </w:r>
    </w:p>
    <w:p>
      <w:pPr>
        <w:spacing w:line="360" w:lineRule="auto"/>
        <w:ind w:firstLine="480" w:firstLineChars="200"/>
        <w:rPr>
          <w:sz w:val="24"/>
        </w:rPr>
      </w:pPr>
      <w:r>
        <w:rPr>
          <w:rFonts w:hint="eastAsia"/>
          <w:sz w:val="24"/>
        </w:rPr>
        <w:t>5.5电子送达回证（</w:t>
      </w:r>
      <w:r>
        <w:rPr>
          <w:rFonts w:hint="eastAsia"/>
          <w:sz w:val="24"/>
          <w:lang w:eastAsia="zh-Hans"/>
        </w:rPr>
        <w:t>包括</w:t>
      </w:r>
      <w:r>
        <w:rPr>
          <w:rFonts w:hint="eastAsia"/>
          <w:sz w:val="24"/>
        </w:rPr>
        <w:t>案件基本信息、当事人信息、送达渠道、点击查看记录和电话沟通的简要记录）</w:t>
      </w:r>
      <w:r>
        <w:rPr>
          <w:sz w:val="24"/>
        </w:rPr>
        <w:t>。</w:t>
      </w:r>
    </w:p>
    <w:p>
      <w:pPr>
        <w:spacing w:line="360" w:lineRule="auto"/>
        <w:ind w:firstLine="482" w:firstLineChars="200"/>
        <w:rPr>
          <w:b/>
          <w:bCs/>
          <w:sz w:val="24"/>
        </w:rPr>
      </w:pPr>
      <w:r>
        <w:rPr>
          <w:rFonts w:hint="eastAsia"/>
          <w:b/>
          <w:bCs/>
          <w:sz w:val="24"/>
        </w:rPr>
        <w:t>6.系统配置及管理</w:t>
      </w:r>
    </w:p>
    <w:p>
      <w:pPr>
        <w:spacing w:line="360" w:lineRule="auto"/>
        <w:ind w:firstLine="480" w:firstLineChars="200"/>
        <w:rPr>
          <w:sz w:val="24"/>
        </w:rPr>
      </w:pPr>
      <w:r>
        <w:rPr>
          <w:rFonts w:hint="eastAsia"/>
          <w:sz w:val="24"/>
        </w:rPr>
        <w:t>6.1</w:t>
      </w:r>
      <w:r>
        <w:rPr>
          <w:rFonts w:hint="eastAsia"/>
          <w:sz w:val="24"/>
          <w:lang w:eastAsia="zh-Hans"/>
        </w:rPr>
        <w:t>系统</w:t>
      </w:r>
      <w:r>
        <w:rPr>
          <w:rFonts w:hint="eastAsia"/>
          <w:sz w:val="24"/>
        </w:rPr>
        <w:t>支持法官团队从</w:t>
      </w:r>
      <w:r>
        <w:rPr>
          <w:rFonts w:hint="eastAsia"/>
          <w:sz w:val="24"/>
          <w:lang w:eastAsia="zh-Hans"/>
        </w:rPr>
        <w:t>内网</w:t>
      </w:r>
      <w:r>
        <w:rPr>
          <w:rFonts w:hint="eastAsia"/>
          <w:sz w:val="24"/>
        </w:rPr>
        <w:t>办案系统推送案件相关信息，并可根据文书送达实际情况对相应信息进行编辑存储。</w:t>
      </w:r>
    </w:p>
    <w:p>
      <w:pPr>
        <w:spacing w:line="360" w:lineRule="auto"/>
        <w:ind w:firstLine="480" w:firstLineChars="200"/>
        <w:rPr>
          <w:sz w:val="24"/>
        </w:rPr>
      </w:pPr>
      <w:r>
        <w:rPr>
          <w:rFonts w:hint="eastAsia"/>
          <w:sz w:val="24"/>
        </w:rPr>
        <w:t>6.2要求对审判字号进行管理，方便法官创建任务。提供高级送达管理功能，系统管理员可对全部送达任务进行检索、编辑、处理等操作。</w:t>
      </w:r>
    </w:p>
    <w:p>
      <w:pPr>
        <w:spacing w:line="360" w:lineRule="auto"/>
        <w:ind w:firstLine="480" w:firstLineChars="200"/>
        <w:rPr>
          <w:sz w:val="24"/>
        </w:rPr>
      </w:pPr>
      <w:r>
        <w:rPr>
          <w:rFonts w:hint="eastAsia"/>
          <w:sz w:val="24"/>
        </w:rPr>
        <w:t>6.3用户管理实现单独用户管理、用户组管理、系统角色管理等功能，</w:t>
      </w:r>
      <w:r>
        <w:rPr>
          <w:rFonts w:hint="eastAsia"/>
          <w:sz w:val="24"/>
          <w:lang w:eastAsia="zh-Hans"/>
        </w:rPr>
        <w:t>实现</w:t>
      </w:r>
      <w:r>
        <w:rPr>
          <w:rFonts w:hint="eastAsia"/>
          <w:sz w:val="24"/>
        </w:rPr>
        <w:t>用户分级管理。</w:t>
      </w:r>
    </w:p>
    <w:p>
      <w:pPr>
        <w:spacing w:line="360" w:lineRule="auto"/>
        <w:ind w:firstLine="480" w:firstLineChars="200"/>
        <w:rPr>
          <w:sz w:val="24"/>
        </w:rPr>
      </w:pPr>
      <w:r>
        <w:rPr>
          <w:rFonts w:hint="eastAsia"/>
          <w:sz w:val="24"/>
        </w:rPr>
        <w:t>6.4实现严格的用户权限管理，设定不同用户、用户组、角色的操作权限和操作范围。权限管理可以对用户在平台中操作许可范围进行定义，通过对用户、用户组和角色的操作权限设置，对各项操作行为进行严格定义，确保送达平台的安全使用。系统支持用户权限细颗粒度定义，可以为功能菜单、按钮等元素设置不同的操作权限，并且支持权限的交叉定义和设置。</w:t>
      </w:r>
    </w:p>
    <w:p>
      <w:pPr>
        <w:spacing w:line="360" w:lineRule="auto"/>
        <w:ind w:firstLine="480" w:firstLineChars="200"/>
        <w:rPr>
          <w:sz w:val="24"/>
        </w:rPr>
      </w:pPr>
      <w:r>
        <w:rPr>
          <w:rFonts w:hint="eastAsia"/>
          <w:sz w:val="24"/>
        </w:rPr>
        <w:t>6.5为了实现系统安全，系统记录所有用户的关键操作（如增加、修改、删除等）</w:t>
      </w:r>
      <w:r>
        <w:rPr>
          <w:sz w:val="24"/>
        </w:rPr>
        <w:t>，</w:t>
      </w:r>
      <w:r>
        <w:rPr>
          <w:rFonts w:hint="eastAsia"/>
          <w:sz w:val="24"/>
          <w:lang w:eastAsia="zh-Hans"/>
        </w:rPr>
        <w:t>形成操作日志</w:t>
      </w:r>
      <w:r>
        <w:rPr>
          <w:rFonts w:hint="eastAsia"/>
          <w:sz w:val="24"/>
        </w:rPr>
        <w:t>。日志管理一方面可以记录所有操作，做到有据可查，另一方面可以根据需要通过多种方式对记录的操作日志进行检索和查询，进一步分析生成统计</w:t>
      </w:r>
      <w:r>
        <w:rPr>
          <w:rFonts w:hint="eastAsia"/>
          <w:sz w:val="24"/>
          <w:lang w:eastAsia="zh-Hans"/>
        </w:rPr>
        <w:t>数据</w:t>
      </w:r>
      <w:r>
        <w:rPr>
          <w:rFonts w:hint="eastAsia"/>
          <w:sz w:val="24"/>
        </w:rPr>
        <w:t>。</w:t>
      </w:r>
    </w:p>
    <w:p>
      <w:pPr>
        <w:spacing w:line="360" w:lineRule="auto"/>
        <w:ind w:firstLine="482" w:firstLineChars="200"/>
        <w:rPr>
          <w:b/>
          <w:bCs/>
          <w:sz w:val="24"/>
        </w:rPr>
      </w:pPr>
      <w:r>
        <w:rPr>
          <w:rFonts w:hint="eastAsia"/>
          <w:b/>
          <w:bCs/>
          <w:sz w:val="24"/>
        </w:rPr>
        <w:t>7.当事人端</w:t>
      </w:r>
    </w:p>
    <w:p>
      <w:pPr>
        <w:spacing w:line="360" w:lineRule="auto"/>
        <w:ind w:firstLine="480" w:firstLineChars="200"/>
        <w:rPr>
          <w:sz w:val="24"/>
        </w:rPr>
      </w:pPr>
      <w:r>
        <w:rPr>
          <w:rFonts w:hint="eastAsia"/>
          <w:sz w:val="24"/>
        </w:rPr>
        <w:t>7.1提供手机短信登录、查看、下载文书功能。</w:t>
      </w:r>
    </w:p>
    <w:p>
      <w:pPr>
        <w:spacing w:line="360" w:lineRule="auto"/>
        <w:ind w:firstLine="480" w:firstLineChars="200"/>
        <w:rPr>
          <w:sz w:val="24"/>
        </w:rPr>
      </w:pPr>
      <w:r>
        <w:rPr>
          <w:rFonts w:hint="eastAsia"/>
          <w:sz w:val="24"/>
        </w:rPr>
        <w:t>7.2收到送达平台通知短信后，通过</w:t>
      </w:r>
      <w:r>
        <w:rPr>
          <w:rFonts w:hint="eastAsia"/>
          <w:sz w:val="24"/>
          <w:lang w:eastAsia="zh-Hans"/>
        </w:rPr>
        <w:t>点击短信内的</w:t>
      </w:r>
      <w:r>
        <w:rPr>
          <w:rFonts w:hint="eastAsia"/>
          <w:sz w:val="24"/>
        </w:rPr>
        <w:t>链接自动访问司法文书送达门户进行登录、查阅、签收。</w:t>
      </w:r>
    </w:p>
    <w:p>
      <w:pPr>
        <w:spacing w:line="360" w:lineRule="auto"/>
        <w:ind w:firstLine="482" w:firstLineChars="200"/>
        <w:rPr>
          <w:b/>
          <w:bCs/>
          <w:sz w:val="24"/>
        </w:rPr>
      </w:pPr>
      <w:r>
        <w:rPr>
          <w:rFonts w:hint="eastAsia"/>
          <w:b/>
          <w:bCs/>
          <w:sz w:val="24"/>
        </w:rPr>
        <w:t>8.法官、书记员案件查询端</w:t>
      </w:r>
    </w:p>
    <w:p>
      <w:pPr>
        <w:spacing w:line="360" w:lineRule="auto"/>
        <w:ind w:firstLine="480" w:firstLineChars="200"/>
        <w:rPr>
          <w:sz w:val="24"/>
        </w:rPr>
      </w:pPr>
      <w:r>
        <w:rPr>
          <w:rFonts w:hint="eastAsia"/>
          <w:sz w:val="24"/>
        </w:rPr>
        <w:t>8.1为法官团队查询送达进度和结果的功能可在系统直接查看。</w:t>
      </w:r>
    </w:p>
    <w:p>
      <w:pPr>
        <w:spacing w:line="360" w:lineRule="auto"/>
        <w:ind w:firstLine="480" w:firstLineChars="200"/>
        <w:rPr>
          <w:sz w:val="24"/>
        </w:rPr>
      </w:pPr>
      <w:r>
        <w:rPr>
          <w:rFonts w:hint="eastAsia"/>
          <w:sz w:val="24"/>
        </w:rPr>
        <w:t>8.2支持法官团队登陆后，不需要输入案件号，直接可以同步查看已委托的送达案件送达进展的情况，包括当前的送达状态、送达节点、送达时长、是否完成送达等功能。</w:t>
      </w:r>
    </w:p>
    <w:p>
      <w:pPr>
        <w:tabs>
          <w:tab w:val="left" w:pos="3060"/>
        </w:tabs>
        <w:spacing w:line="360" w:lineRule="auto"/>
        <w:ind w:left="420" w:leftChars="200"/>
        <w:rPr>
          <w:sz w:val="24"/>
        </w:rPr>
      </w:pPr>
      <w:r>
        <w:rPr>
          <w:rFonts w:hint="eastAsia"/>
          <w:sz w:val="24"/>
        </w:rPr>
        <w:t>8.3支持完成的送达可以直接查看和下载结果。</w:t>
      </w:r>
    </w:p>
    <w:p>
      <w:pPr>
        <w:tabs>
          <w:tab w:val="left" w:pos="3060"/>
        </w:tabs>
        <w:spacing w:line="360" w:lineRule="auto"/>
        <w:ind w:left="420" w:leftChars="200"/>
        <w:rPr>
          <w:b/>
          <w:bCs/>
          <w:sz w:val="24"/>
        </w:rPr>
      </w:pPr>
      <w:r>
        <w:rPr>
          <w:rFonts w:hint="eastAsia"/>
          <w:b/>
          <w:bCs/>
          <w:sz w:val="24"/>
        </w:rPr>
        <w:t>9.智能揽收功能</w:t>
      </w:r>
    </w:p>
    <w:p>
      <w:pPr>
        <w:tabs>
          <w:tab w:val="left" w:pos="3060"/>
        </w:tabs>
        <w:spacing w:line="360" w:lineRule="auto"/>
        <w:ind w:firstLine="420" w:firstLineChars="175"/>
        <w:rPr>
          <w:sz w:val="24"/>
        </w:rPr>
      </w:pPr>
      <w:r>
        <w:rPr>
          <w:rFonts w:hint="eastAsia"/>
          <w:sz w:val="24"/>
        </w:rPr>
        <w:t>9.1</w:t>
      </w:r>
      <w:r>
        <w:rPr>
          <w:sz w:val="24"/>
        </w:rPr>
        <w:t>邮政集约送达中心针对电子送达不成功流转至邮寄送达的订单在第一时间进行文书打印、审核、封装、收寄以最近一频次邮寄出口</w:t>
      </w:r>
      <w:r>
        <w:rPr>
          <w:rFonts w:hint="eastAsia"/>
          <w:sz w:val="24"/>
        </w:rPr>
        <w:t>。</w:t>
      </w:r>
    </w:p>
    <w:p>
      <w:pPr>
        <w:tabs>
          <w:tab w:val="left" w:pos="3060"/>
        </w:tabs>
        <w:spacing w:line="360" w:lineRule="auto"/>
        <w:ind w:firstLine="420" w:firstLineChars="175"/>
        <w:rPr>
          <w:sz w:val="24"/>
        </w:rPr>
      </w:pPr>
      <w:r>
        <w:rPr>
          <w:rFonts w:hint="eastAsia"/>
          <w:sz w:val="24"/>
        </w:rPr>
        <w:t>9.2</w:t>
      </w:r>
      <w:r>
        <w:rPr>
          <w:sz w:val="24"/>
        </w:rPr>
        <w:t>签收回执/退件返回集约送达中心后拍照上传至送达平台，实物根据业务庭、寄件人分类、登记返回法院。</w:t>
      </w:r>
    </w:p>
    <w:p>
      <w:pPr>
        <w:tabs>
          <w:tab w:val="left" w:pos="3060"/>
        </w:tabs>
        <w:spacing w:line="360" w:lineRule="auto"/>
        <w:ind w:firstLine="420" w:firstLineChars="175"/>
        <w:rPr>
          <w:sz w:val="24"/>
        </w:rPr>
      </w:pPr>
      <w:r>
        <w:rPr>
          <w:rFonts w:hint="eastAsia"/>
          <w:sz w:val="24"/>
        </w:rPr>
        <w:t>9.3线上邮寄：在系统里创建任务，上传文书（判决书、裁判文书等有电子版的文书）、录入收件地址信息，发起邮寄送达。</w:t>
      </w:r>
    </w:p>
    <w:p>
      <w:pPr>
        <w:tabs>
          <w:tab w:val="left" w:pos="3060"/>
        </w:tabs>
        <w:spacing w:line="360" w:lineRule="auto"/>
        <w:ind w:firstLine="420" w:firstLineChars="175"/>
        <w:rPr>
          <w:sz w:val="24"/>
        </w:rPr>
      </w:pPr>
      <w:r>
        <w:rPr>
          <w:rFonts w:hint="eastAsia"/>
          <w:sz w:val="24"/>
        </w:rPr>
        <w:t>9.4线下邮寄：应诉资料类的文书进行封装文书（结案裁判文书使用A3纸打印并配封面）、打印详情单形成邮件交于揽收员进行邮件揽收寄出。</w:t>
      </w:r>
    </w:p>
    <w:p>
      <w:pPr>
        <w:tabs>
          <w:tab w:val="left" w:pos="3060"/>
        </w:tabs>
        <w:spacing w:line="360" w:lineRule="auto"/>
        <w:ind w:left="420" w:leftChars="200"/>
        <w:rPr>
          <w:b/>
          <w:bCs/>
          <w:sz w:val="24"/>
        </w:rPr>
      </w:pPr>
      <w:r>
        <w:rPr>
          <w:rFonts w:hint="eastAsia"/>
          <w:b/>
          <w:bCs/>
          <w:sz w:val="24"/>
        </w:rPr>
        <w:t>10.硬件部署和技术运维服务</w:t>
      </w:r>
    </w:p>
    <w:p>
      <w:pPr>
        <w:tabs>
          <w:tab w:val="left" w:pos="3060"/>
        </w:tabs>
        <w:spacing w:line="360" w:lineRule="auto"/>
        <w:ind w:firstLine="480" w:firstLineChars="200"/>
        <w:rPr>
          <w:sz w:val="24"/>
        </w:rPr>
      </w:pPr>
      <w:r>
        <w:rPr>
          <w:rFonts w:hint="eastAsia"/>
          <w:sz w:val="24"/>
        </w:rPr>
        <w:t>10.1提供统一电话送达专属号码实施电话送达。</w:t>
      </w:r>
    </w:p>
    <w:p>
      <w:pPr>
        <w:pStyle w:val="17"/>
        <w:ind w:firstLine="480" w:firstLineChars="200"/>
      </w:pPr>
      <w:r>
        <w:rPr>
          <w:rFonts w:hint="eastAsia"/>
          <w:sz w:val="24"/>
          <w:lang w:val="en-US"/>
        </w:rPr>
        <w:t>10</w:t>
      </w:r>
      <w:r>
        <w:rPr>
          <w:rFonts w:hint="eastAsia"/>
          <w:sz w:val="24"/>
        </w:rPr>
        <w:t>.2提供台式电脑、录音设备、扫描机、高拍仪、司法专邮打印机、激光打印机、热敏纸打印机等设备、大型彩色打印机、扫描枪等设备，负责部署安装及调试工作。</w:t>
      </w:r>
    </w:p>
    <w:p>
      <w:pPr>
        <w:tabs>
          <w:tab w:val="left" w:pos="3060"/>
        </w:tabs>
        <w:spacing w:line="360" w:lineRule="auto"/>
        <w:ind w:firstLine="480" w:firstLineChars="200"/>
        <w:rPr>
          <w:sz w:val="24"/>
        </w:rPr>
      </w:pPr>
      <w:r>
        <w:rPr>
          <w:rFonts w:hint="eastAsia"/>
          <w:sz w:val="24"/>
        </w:rPr>
        <w:t>10.3结合功能使用的实际情况，不定期升级和完善系统功能，针对迭代后的产品功能进行软件升级服务等。</w:t>
      </w:r>
    </w:p>
    <w:p>
      <w:pPr>
        <w:spacing w:line="360" w:lineRule="auto"/>
        <w:ind w:firstLine="480" w:firstLineChars="200"/>
        <w:rPr>
          <w:sz w:val="24"/>
        </w:rPr>
      </w:pPr>
      <w:r>
        <w:rPr>
          <w:rFonts w:hint="eastAsia"/>
          <w:sz w:val="24"/>
        </w:rPr>
        <w:t>10.4提供系统平台统一客服电话，并随时通过QQ群、微信群咨询，客服提供平台使用指导和问题解决，不能及时解决的问题，在24小时内反馈解决方案。</w:t>
      </w:r>
    </w:p>
    <w:p>
      <w:pPr>
        <w:tabs>
          <w:tab w:val="left" w:pos="3060"/>
        </w:tabs>
        <w:spacing w:line="360" w:lineRule="auto"/>
        <w:ind w:firstLine="482" w:firstLineChars="200"/>
        <w:rPr>
          <w:b/>
          <w:bCs/>
          <w:sz w:val="24"/>
        </w:rPr>
      </w:pPr>
      <w:r>
        <w:rPr>
          <w:rFonts w:hint="eastAsia"/>
          <w:b/>
          <w:bCs/>
          <w:sz w:val="24"/>
        </w:rPr>
        <w:t>11.驻场人员</w:t>
      </w:r>
    </w:p>
    <w:p>
      <w:pPr>
        <w:tabs>
          <w:tab w:val="left" w:pos="3060"/>
        </w:tabs>
        <w:spacing w:line="360" w:lineRule="auto"/>
        <w:ind w:firstLine="480" w:firstLineChars="200"/>
        <w:rPr>
          <w:sz w:val="24"/>
        </w:rPr>
      </w:pPr>
      <w:r>
        <w:rPr>
          <w:rFonts w:hint="eastAsia"/>
          <w:sz w:val="24"/>
        </w:rPr>
        <w:t>11.1派驻2-4人驻场负责跟进对接到法院领取送达文书资料的当事人资料收发、打印、装订、邮件封装、登记工作。</w:t>
      </w:r>
    </w:p>
    <w:p>
      <w:pPr>
        <w:tabs>
          <w:tab w:val="left" w:pos="3060"/>
        </w:tabs>
        <w:spacing w:line="360" w:lineRule="auto"/>
        <w:ind w:firstLine="480" w:firstLineChars="200"/>
        <w:rPr>
          <w:sz w:val="24"/>
        </w:rPr>
      </w:pPr>
      <w:r>
        <w:rPr>
          <w:rFonts w:hint="eastAsia"/>
          <w:sz w:val="24"/>
        </w:rPr>
        <w:t>11.2负责法院各部门、各法庭之间的统筹、协调工作，确保集约送达工作按要求推广，创建送达任务，检查送达结果，送达结果进行反馈。</w:t>
      </w:r>
    </w:p>
    <w:bookmarkEnd w:id="12"/>
    <w:p>
      <w:pPr>
        <w:pStyle w:val="20"/>
        <w:adjustRightInd w:val="0"/>
        <w:snapToGrid w:val="0"/>
        <w:spacing w:line="460" w:lineRule="atLeast"/>
        <w:ind w:firstLine="482" w:firstLineChars="200"/>
        <w:rPr>
          <w:b/>
          <w:bCs/>
          <w:sz w:val="24"/>
          <w:szCs w:val="24"/>
        </w:rPr>
      </w:pPr>
      <w:r>
        <w:rPr>
          <w:rFonts w:hint="eastAsia"/>
          <w:b/>
          <w:bCs/>
          <w:sz w:val="24"/>
          <w:szCs w:val="24"/>
        </w:rPr>
        <w:t>三、培训要求</w:t>
      </w:r>
    </w:p>
    <w:p>
      <w:pPr>
        <w:adjustRightInd w:val="0"/>
        <w:snapToGrid w:val="0"/>
        <w:spacing w:line="460" w:lineRule="atLeast"/>
        <w:ind w:firstLine="480" w:firstLineChars="200"/>
        <w:rPr>
          <w:rFonts w:ascii="宋体" w:hAnsi="宋体" w:cs="宋体"/>
          <w:sz w:val="24"/>
          <w:szCs w:val="24"/>
        </w:rPr>
      </w:pPr>
      <w:r>
        <w:rPr>
          <w:rFonts w:hint="eastAsia" w:ascii="宋体" w:hAnsi="宋体" w:cs="宋体"/>
          <w:sz w:val="24"/>
          <w:szCs w:val="24"/>
        </w:rPr>
        <w:t>成交供应商须提供完整的系统操作的培训方案，培训方式包括现场培训和集中培训，主要内容包括应用系统的操作使用、维护、安装等；主要培训对象为使用人员、管理人员及技术人员。</w:t>
      </w:r>
    </w:p>
    <w:p>
      <w:pPr>
        <w:adjustRightInd w:val="0"/>
        <w:snapToGrid w:val="0"/>
        <w:spacing w:line="460" w:lineRule="atLeast"/>
        <w:ind w:firstLine="482" w:firstLineChars="200"/>
        <w:rPr>
          <w:rFonts w:ascii="宋体" w:hAnsi="宋体"/>
          <w:b/>
          <w:sz w:val="24"/>
          <w:szCs w:val="24"/>
        </w:rPr>
      </w:pPr>
      <w:bookmarkStart w:id="13" w:name="_Toc421019542"/>
      <w:bookmarkStart w:id="14" w:name="_Toc6052"/>
      <w:r>
        <w:rPr>
          <w:rFonts w:hint="eastAsia" w:ascii="宋体" w:hAnsi="宋体"/>
          <w:b/>
          <w:sz w:val="24"/>
          <w:szCs w:val="24"/>
        </w:rPr>
        <w:t>四、知识产权</w:t>
      </w:r>
      <w:bookmarkEnd w:id="13"/>
      <w:bookmarkEnd w:id="14"/>
    </w:p>
    <w:p>
      <w:pPr>
        <w:adjustRightInd w:val="0"/>
        <w:snapToGrid w:val="0"/>
        <w:spacing w:line="460" w:lineRule="atLeast"/>
        <w:ind w:firstLine="480" w:firstLineChars="200"/>
        <w:rPr>
          <w:rFonts w:ascii="宋体" w:hAnsi="宋体" w:cs="宋体"/>
          <w:sz w:val="24"/>
          <w:szCs w:val="24"/>
        </w:rPr>
      </w:pPr>
      <w:r>
        <w:rPr>
          <w:rFonts w:hint="eastAsia" w:ascii="宋体" w:hAnsi="宋体" w:cs="宋体"/>
          <w:sz w:val="24"/>
          <w:szCs w:val="24"/>
        </w:rPr>
        <w:t>成交</w:t>
      </w:r>
      <w:r>
        <w:rPr>
          <w:rFonts w:hint="eastAsia" w:ascii="宋体" w:hAnsi="宋体"/>
          <w:sz w:val="24"/>
          <w:szCs w:val="24"/>
        </w:rPr>
        <w:t>供应商</w:t>
      </w:r>
      <w:r>
        <w:rPr>
          <w:rFonts w:hint="eastAsia" w:ascii="宋体" w:hAnsi="宋体" w:cs="宋体"/>
          <w:sz w:val="24"/>
          <w:szCs w:val="24"/>
        </w:rPr>
        <w:t>保证采购人在中华人民共和国使用该服务的任何一部分时，免受第三方提出的侵犯其专利权、商标权或其他知识产权的起诉。如发生此类纠纷，由成交供应商承担一切责任；如因此给采购人造成损失的，成交供应商负责全额赔偿。</w:t>
      </w:r>
    </w:p>
    <w:p>
      <w:pPr>
        <w:pStyle w:val="20"/>
        <w:adjustRightInd w:val="0"/>
        <w:snapToGrid w:val="0"/>
        <w:spacing w:line="460" w:lineRule="atLeast"/>
        <w:ind w:firstLine="482" w:firstLineChars="200"/>
        <w:rPr>
          <w:b/>
          <w:bCs/>
          <w:sz w:val="24"/>
          <w:szCs w:val="24"/>
        </w:rPr>
      </w:pPr>
      <w:r>
        <w:rPr>
          <w:rFonts w:hint="eastAsia"/>
          <w:b/>
          <w:bCs/>
          <w:sz w:val="24"/>
          <w:szCs w:val="24"/>
        </w:rPr>
        <w:t>五、保密要求</w:t>
      </w:r>
    </w:p>
    <w:p>
      <w:pPr>
        <w:adjustRightInd w:val="0"/>
        <w:snapToGrid w:val="0"/>
        <w:spacing w:line="460" w:lineRule="atLeast"/>
        <w:ind w:firstLine="480" w:firstLineChars="200"/>
        <w:rPr>
          <w:rFonts w:ascii="宋体" w:hAnsi="宋体" w:cs="宋体"/>
          <w:sz w:val="24"/>
          <w:szCs w:val="24"/>
        </w:rPr>
      </w:pPr>
      <w:r>
        <w:rPr>
          <w:rFonts w:hint="eastAsia" w:ascii="宋体" w:hAnsi="宋体" w:cs="宋体"/>
          <w:sz w:val="24"/>
          <w:szCs w:val="24"/>
        </w:rPr>
        <w:t>成交供应商应严格遵守国家相关的保密法律规定，遵守采购人的有关规定。实施工作必须在采购人指定的场所内进行，确保场所正常秩序和安全。</w:t>
      </w:r>
    </w:p>
    <w:p>
      <w:pPr>
        <w:adjustRightInd w:val="0"/>
        <w:snapToGrid w:val="0"/>
        <w:spacing w:line="460" w:lineRule="atLeast"/>
        <w:ind w:firstLine="482" w:firstLineChars="200"/>
        <w:rPr>
          <w:rFonts w:ascii="宋体" w:hAnsi="宋体"/>
          <w:b/>
          <w:sz w:val="24"/>
          <w:szCs w:val="24"/>
        </w:rPr>
      </w:pPr>
      <w:r>
        <w:rPr>
          <w:rFonts w:hint="eastAsia" w:ascii="宋体" w:hAnsi="宋体"/>
          <w:b/>
          <w:sz w:val="24"/>
          <w:szCs w:val="24"/>
          <w:lang w:val="zh-CN"/>
        </w:rPr>
        <w:t>六、服务期限及</w:t>
      </w:r>
      <w:r>
        <w:rPr>
          <w:rFonts w:hint="eastAsia" w:ascii="宋体" w:hAnsi="宋体"/>
          <w:b/>
          <w:sz w:val="24"/>
          <w:szCs w:val="24"/>
        </w:rPr>
        <w:t>服务范围</w:t>
      </w:r>
    </w:p>
    <w:p>
      <w:pPr>
        <w:adjustRightInd w:val="0"/>
        <w:snapToGrid w:val="0"/>
        <w:spacing w:line="460" w:lineRule="atLeast"/>
        <w:ind w:firstLine="480" w:firstLineChars="200"/>
        <w:rPr>
          <w:rFonts w:ascii="宋体" w:hAnsi="宋体"/>
          <w:sz w:val="24"/>
          <w:szCs w:val="24"/>
          <w:lang w:val="zh-CN"/>
        </w:rPr>
      </w:pPr>
      <w:r>
        <w:rPr>
          <w:rFonts w:hint="eastAsia" w:ascii="宋体" w:hAnsi="宋体"/>
          <w:sz w:val="24"/>
          <w:szCs w:val="24"/>
          <w:lang w:val="zh-CN"/>
        </w:rPr>
        <w:t>1、服务期限：本项目服务期限自</w:t>
      </w:r>
      <w:r>
        <w:rPr>
          <w:rFonts w:hint="eastAsia" w:ascii="宋体" w:hAnsi="宋体"/>
          <w:sz w:val="24"/>
          <w:szCs w:val="24"/>
        </w:rPr>
        <w:t>合同签订生效之日</w:t>
      </w:r>
      <w:r>
        <w:rPr>
          <w:rFonts w:hint="eastAsia" w:ascii="宋体" w:hAnsi="宋体"/>
          <w:sz w:val="24"/>
          <w:szCs w:val="24"/>
          <w:lang w:eastAsia="zh-CN"/>
        </w:rPr>
        <w:t>至</w:t>
      </w:r>
      <w:r>
        <w:rPr>
          <w:rFonts w:hint="eastAsia" w:ascii="宋体" w:hAnsi="宋体"/>
          <w:sz w:val="24"/>
          <w:szCs w:val="24"/>
          <w:lang w:val="en-US" w:eastAsia="zh-CN"/>
        </w:rPr>
        <w:t>2023年12月31</w:t>
      </w:r>
      <w:bookmarkStart w:id="43" w:name="_GoBack"/>
      <w:bookmarkEnd w:id="43"/>
      <w:r>
        <w:rPr>
          <w:rFonts w:hint="eastAsia" w:ascii="宋体" w:hAnsi="宋体"/>
          <w:sz w:val="24"/>
          <w:szCs w:val="24"/>
          <w:lang w:val="en-US" w:eastAsia="zh-CN"/>
        </w:rPr>
        <w:t>日</w:t>
      </w:r>
      <w:r>
        <w:rPr>
          <w:rFonts w:hint="eastAsia" w:ascii="宋体" w:hAnsi="宋体"/>
          <w:sz w:val="24"/>
          <w:szCs w:val="24"/>
        </w:rPr>
        <w:t>。</w:t>
      </w:r>
    </w:p>
    <w:p>
      <w:pPr>
        <w:adjustRightInd w:val="0"/>
        <w:snapToGrid w:val="0"/>
        <w:spacing w:line="460" w:lineRule="atLeast"/>
        <w:ind w:firstLine="480" w:firstLineChars="200"/>
        <w:rPr>
          <w:rFonts w:ascii="宋体" w:hAnsi="宋体"/>
          <w:sz w:val="24"/>
          <w:szCs w:val="24"/>
          <w:lang w:val="zh-CN"/>
        </w:rPr>
      </w:pPr>
      <w:r>
        <w:rPr>
          <w:rFonts w:hint="eastAsia" w:ascii="宋体" w:hAnsi="宋体"/>
          <w:sz w:val="24"/>
          <w:szCs w:val="24"/>
          <w:lang w:val="zh-CN"/>
        </w:rPr>
        <w:t>2、服务</w:t>
      </w:r>
      <w:r>
        <w:rPr>
          <w:rFonts w:hint="eastAsia" w:ascii="宋体" w:hAnsi="宋体"/>
          <w:sz w:val="24"/>
          <w:szCs w:val="24"/>
        </w:rPr>
        <w:t>范围</w:t>
      </w:r>
      <w:r>
        <w:rPr>
          <w:rFonts w:hint="eastAsia" w:ascii="宋体" w:hAnsi="宋体"/>
          <w:sz w:val="24"/>
          <w:szCs w:val="24"/>
          <w:lang w:val="zh-CN"/>
        </w:rPr>
        <w:t>：</w:t>
      </w:r>
      <w:bookmarkStart w:id="15" w:name="_Toc484183908"/>
      <w:bookmarkStart w:id="16" w:name="_Toc486941936"/>
      <w:bookmarkStart w:id="17" w:name="_Toc491725792"/>
      <w:bookmarkStart w:id="18" w:name="_Toc484623546"/>
      <w:r>
        <w:rPr>
          <w:rFonts w:hint="eastAsia" w:ascii="宋体" w:hAnsi="宋体" w:cs="宋体"/>
          <w:kern w:val="0"/>
          <w:sz w:val="24"/>
        </w:rPr>
        <w:t>台山市人民法院机关大院、台城人民法庭、水步人民法庭、三合人民法庭、斗山人民法庭、广海人民法庭、海宴人民法庭。</w:t>
      </w:r>
    </w:p>
    <w:p>
      <w:pPr>
        <w:adjustRightInd w:val="0"/>
        <w:snapToGrid w:val="0"/>
        <w:spacing w:line="460" w:lineRule="atLeast"/>
        <w:ind w:firstLine="482" w:firstLineChars="200"/>
        <w:rPr>
          <w:rFonts w:ascii="宋体" w:hAnsi="宋体"/>
          <w:b/>
          <w:sz w:val="24"/>
          <w:szCs w:val="24"/>
          <w:lang w:val="zh-CN"/>
        </w:rPr>
      </w:pPr>
      <w:r>
        <w:rPr>
          <w:rFonts w:hint="eastAsia" w:ascii="宋体" w:hAnsi="宋体"/>
          <w:b/>
          <w:sz w:val="24"/>
          <w:szCs w:val="24"/>
          <w:lang w:val="zh-CN"/>
        </w:rPr>
        <w:t>七、验收要求</w:t>
      </w:r>
      <w:bookmarkEnd w:id="15"/>
      <w:bookmarkEnd w:id="16"/>
      <w:bookmarkEnd w:id="17"/>
      <w:bookmarkEnd w:id="18"/>
    </w:p>
    <w:p>
      <w:pPr>
        <w:adjustRightInd w:val="0"/>
        <w:snapToGrid w:val="0"/>
        <w:spacing w:line="460" w:lineRule="atLeast"/>
        <w:ind w:firstLine="480" w:firstLineChars="200"/>
        <w:rPr>
          <w:rFonts w:ascii="宋体" w:hAnsi="宋体"/>
          <w:sz w:val="24"/>
          <w:szCs w:val="24"/>
          <w:lang w:val="zh-CN"/>
        </w:rPr>
      </w:pPr>
      <w:r>
        <w:rPr>
          <w:rFonts w:hint="eastAsia" w:ascii="宋体" w:hAnsi="宋体"/>
          <w:sz w:val="24"/>
          <w:szCs w:val="24"/>
          <w:lang w:val="zh-CN"/>
        </w:rPr>
        <w:t>1、验收依据：采购文件、报价文件及国家有关的质量标准规定，均为验收依据</w:t>
      </w:r>
    </w:p>
    <w:p>
      <w:pPr>
        <w:adjustRightInd w:val="0"/>
        <w:snapToGrid w:val="0"/>
        <w:spacing w:line="460" w:lineRule="atLeast"/>
        <w:ind w:firstLine="480" w:firstLineChars="200"/>
        <w:rPr>
          <w:rFonts w:ascii="宋体" w:hAnsi="宋体"/>
          <w:sz w:val="24"/>
          <w:szCs w:val="24"/>
          <w:lang w:val="zh-CN"/>
        </w:rPr>
      </w:pPr>
      <w:r>
        <w:rPr>
          <w:rFonts w:hint="eastAsia" w:ascii="宋体" w:hAnsi="宋体"/>
          <w:sz w:val="24"/>
          <w:szCs w:val="24"/>
          <w:lang w:val="zh-CN"/>
        </w:rPr>
        <w:t>2、系统验收：成交供应商根据采购要求进行产品安装、调试、测试后，由采购人进行使用性能方面的验收。</w:t>
      </w:r>
    </w:p>
    <w:p>
      <w:pPr>
        <w:adjustRightInd w:val="0"/>
        <w:snapToGrid w:val="0"/>
        <w:spacing w:line="460" w:lineRule="atLeast"/>
        <w:ind w:firstLine="480" w:firstLineChars="200"/>
        <w:rPr>
          <w:rFonts w:ascii="宋体" w:hAnsi="宋体"/>
          <w:sz w:val="24"/>
          <w:szCs w:val="24"/>
          <w:lang w:val="zh-CN"/>
        </w:rPr>
      </w:pPr>
      <w:r>
        <w:rPr>
          <w:rFonts w:hint="eastAsia" w:ascii="宋体" w:hAnsi="宋体"/>
          <w:sz w:val="24"/>
          <w:szCs w:val="24"/>
          <w:lang w:val="zh-CN"/>
        </w:rPr>
        <w:t>3、验收时成交供应商必须派代表参加，验收完毕由采购人代表和成交供应商代表在验收报告上签名确认。</w:t>
      </w:r>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rPr>
        <w:t>4</w:t>
      </w:r>
      <w:r>
        <w:rPr>
          <w:rFonts w:ascii="宋体" w:hAnsi="宋体"/>
          <w:color w:val="000000"/>
          <w:sz w:val="24"/>
          <w:szCs w:val="24"/>
          <w:lang w:val="zh-CN"/>
        </w:rPr>
        <w:t>、验收过程所发生的一切费用由成交</w:t>
      </w:r>
      <w:r>
        <w:rPr>
          <w:rFonts w:hint="eastAsia" w:ascii="宋体" w:hAnsi="宋体"/>
          <w:color w:val="000000"/>
          <w:sz w:val="24"/>
          <w:szCs w:val="24"/>
          <w:lang w:val="zh-CN"/>
        </w:rPr>
        <w:t>供应商</w:t>
      </w:r>
      <w:r>
        <w:rPr>
          <w:rFonts w:ascii="宋体" w:hAnsi="宋体"/>
          <w:color w:val="000000"/>
          <w:sz w:val="24"/>
          <w:szCs w:val="24"/>
          <w:lang w:val="zh-CN"/>
        </w:rPr>
        <w:t>承担。</w:t>
      </w:r>
    </w:p>
    <w:p>
      <w:pPr>
        <w:pStyle w:val="24"/>
        <w:adjustRightInd w:val="0"/>
        <w:snapToGrid w:val="0"/>
        <w:spacing w:line="460" w:lineRule="atLeast"/>
        <w:ind w:firstLine="482" w:firstLineChars="200"/>
        <w:rPr>
          <w:rFonts w:hAnsi="宋体"/>
          <w:b/>
          <w:sz w:val="24"/>
          <w:lang w:val="zh-CN"/>
        </w:rPr>
      </w:pPr>
      <w:r>
        <w:rPr>
          <w:rFonts w:hint="eastAsia" w:hAnsi="宋体"/>
          <w:b/>
          <w:sz w:val="24"/>
        </w:rPr>
        <w:t>八</w:t>
      </w:r>
      <w:r>
        <w:rPr>
          <w:rFonts w:hint="eastAsia" w:hAnsi="宋体"/>
          <w:b/>
          <w:sz w:val="24"/>
          <w:lang w:val="zh-CN"/>
        </w:rPr>
        <w:t>、付款方式</w:t>
      </w:r>
    </w:p>
    <w:p>
      <w:pPr>
        <w:tabs>
          <w:tab w:val="left" w:pos="1080"/>
          <w:tab w:val="left" w:pos="1260"/>
        </w:tabs>
        <w:adjustRightInd w:val="0"/>
        <w:snapToGrid w:val="0"/>
        <w:spacing w:line="460" w:lineRule="atLeast"/>
        <w:ind w:firstLine="480" w:firstLineChars="200"/>
        <w:rPr>
          <w:rFonts w:ascii="宋体" w:hAnsi="宋体"/>
          <w:bCs/>
          <w:sz w:val="24"/>
          <w:szCs w:val="24"/>
        </w:rPr>
      </w:pPr>
      <w:r>
        <w:rPr>
          <w:rFonts w:hint="eastAsia" w:ascii="宋体" w:hAnsi="宋体"/>
          <w:bCs/>
          <w:sz w:val="24"/>
          <w:szCs w:val="24"/>
        </w:rPr>
        <w:t>服务期内，成交供应商按月向采购人提交申请支付函，支付金额=实际完成电子送达案件数*合同总金额/10000，采购人在收到申请支付函后10个工作日内向成交供应商支付金额。</w:t>
      </w:r>
    </w:p>
    <w:p>
      <w:pPr>
        <w:pStyle w:val="73"/>
        <w:tabs>
          <w:tab w:val="left" w:pos="540"/>
          <w:tab w:val="left" w:pos="994"/>
        </w:tabs>
        <w:adjustRightInd w:val="0"/>
        <w:snapToGrid w:val="0"/>
        <w:spacing w:before="0" w:after="0" w:line="460" w:lineRule="atLeast"/>
        <w:ind w:firstLine="482"/>
        <w:rPr>
          <w:rFonts w:hAnsi="宋体"/>
          <w:b/>
          <w:bCs/>
          <w:color w:val="000000"/>
        </w:rPr>
      </w:pPr>
      <w:r>
        <w:rPr>
          <w:rFonts w:hint="eastAsia" w:hAnsi="宋体"/>
          <w:b/>
          <w:bCs/>
          <w:color w:val="000000"/>
        </w:rPr>
        <w:t>九、评审方式</w:t>
      </w:r>
    </w:p>
    <w:p>
      <w:pPr>
        <w:pStyle w:val="73"/>
        <w:tabs>
          <w:tab w:val="left" w:pos="540"/>
          <w:tab w:val="left" w:pos="994"/>
        </w:tabs>
        <w:adjustRightInd w:val="0"/>
        <w:snapToGrid w:val="0"/>
        <w:spacing w:before="0" w:after="0" w:line="460" w:lineRule="atLeast"/>
        <w:rPr>
          <w:rFonts w:hAnsi="宋体"/>
          <w:bCs/>
          <w:color w:val="000000"/>
        </w:rPr>
      </w:pPr>
      <w:r>
        <w:rPr>
          <w:rFonts w:hint="eastAsia" w:hAnsi="宋体"/>
          <w:bCs/>
          <w:color w:val="000000"/>
        </w:rPr>
        <w:t>1、本项目系采购人自主采购项目，采购人自主组建评审小组，成员由采购人的工作人员组成，且报价人不少于1家即可正常开标评审。</w:t>
      </w:r>
    </w:p>
    <w:p>
      <w:pPr>
        <w:pStyle w:val="73"/>
        <w:tabs>
          <w:tab w:val="left" w:pos="540"/>
          <w:tab w:val="left" w:pos="994"/>
        </w:tabs>
        <w:adjustRightInd w:val="0"/>
        <w:snapToGrid w:val="0"/>
        <w:spacing w:before="0" w:after="0" w:line="460" w:lineRule="atLeast"/>
        <w:jc w:val="left"/>
        <w:rPr>
          <w:color w:val="000000"/>
        </w:rPr>
      </w:pPr>
      <w:r>
        <w:rPr>
          <w:rFonts w:hint="eastAsia"/>
          <w:color w:val="000000"/>
        </w:rPr>
        <w:t>2、</w:t>
      </w:r>
      <w:r>
        <w:rPr>
          <w:rFonts w:hint="eastAsia"/>
          <w:color w:val="000000"/>
          <w:u w:val="single"/>
        </w:rPr>
        <w:t>在满足采购项目的重要参数和基本要求的前提下，按照质量、服务相等且评标价格最低的原则确定成交供应商。</w:t>
      </w:r>
      <w:r>
        <w:rPr>
          <w:rFonts w:hint="eastAsia"/>
          <w:color w:val="000000"/>
        </w:rPr>
        <w:t>如果成交候选人的评标价格相同时，则依次以技术方案配置、服务承诺、优惠条款等方面进行综合评审，从中择优确定成交供应商。若通过上述综合评审后仍确定不了成交供应商时，评审小组将以投票方式确定成交候选人。</w:t>
      </w:r>
    </w:p>
    <w:p>
      <w:pPr>
        <w:pStyle w:val="73"/>
        <w:tabs>
          <w:tab w:val="left" w:pos="540"/>
          <w:tab w:val="left" w:pos="994"/>
        </w:tabs>
        <w:adjustRightInd w:val="0"/>
        <w:snapToGrid w:val="0"/>
        <w:spacing w:before="0" w:after="0" w:line="480" w:lineRule="atLeast"/>
        <w:ind w:firstLine="0" w:firstLineChars="0"/>
        <w:jc w:val="left"/>
        <w:rPr>
          <w:color w:val="000000"/>
        </w:rPr>
      </w:pPr>
    </w:p>
    <w:p>
      <w:pPr>
        <w:pStyle w:val="73"/>
        <w:tabs>
          <w:tab w:val="left" w:pos="540"/>
          <w:tab w:val="left" w:pos="994"/>
        </w:tabs>
        <w:adjustRightInd w:val="0"/>
        <w:snapToGrid w:val="0"/>
        <w:spacing w:before="0" w:after="0" w:line="480" w:lineRule="atLeast"/>
        <w:ind w:firstLine="0" w:firstLineChars="0"/>
        <w:jc w:val="left"/>
        <w:rPr>
          <w:color w:val="000000"/>
        </w:rPr>
      </w:pPr>
    </w:p>
    <w:p>
      <w:pPr>
        <w:pStyle w:val="2"/>
        <w:pageBreakBefore/>
        <w:numPr>
          <w:ilvl w:val="0"/>
          <w:numId w:val="0"/>
        </w:numPr>
        <w:snapToGrid w:val="0"/>
        <w:spacing w:line="500" w:lineRule="atLeast"/>
        <w:rPr>
          <w:rFonts w:ascii="黑体" w:hAnsi="黑体" w:eastAsia="黑体"/>
          <w:color w:val="000000"/>
          <w:sz w:val="30"/>
          <w:szCs w:val="30"/>
        </w:rPr>
      </w:pPr>
      <w:bookmarkStart w:id="19" w:name="_Toc70360950"/>
      <w:r>
        <w:rPr>
          <w:rFonts w:hint="eastAsia" w:ascii="黑体" w:hAnsi="黑体" w:eastAsia="黑体"/>
          <w:color w:val="000000"/>
          <w:sz w:val="30"/>
          <w:szCs w:val="30"/>
        </w:rPr>
        <w:t>第三部分　报价文件格式</w:t>
      </w:r>
      <w:bookmarkEnd w:id="19"/>
    </w:p>
    <w:p>
      <w:pPr>
        <w:rPr>
          <w:color w:val="000000"/>
        </w:rPr>
      </w:pPr>
    </w:p>
    <w:p>
      <w:pPr>
        <w:adjustRightInd w:val="0"/>
        <w:snapToGrid w:val="0"/>
        <w:spacing w:after="120" w:afterLines="50" w:line="440" w:lineRule="atLeast"/>
        <w:jc w:val="left"/>
        <w:rPr>
          <w:rFonts w:ascii="宋体" w:hAnsi="宋体"/>
          <w:b/>
          <w:color w:val="000000"/>
          <w:sz w:val="24"/>
          <w:szCs w:val="24"/>
        </w:rPr>
      </w:pPr>
      <w:r>
        <w:rPr>
          <w:rFonts w:hint="eastAsia" w:ascii="宋体" w:hAnsi="宋体"/>
          <w:b/>
          <w:color w:val="000000"/>
          <w:sz w:val="24"/>
          <w:szCs w:val="24"/>
        </w:rPr>
        <w:t>报价文件密封袋封面：</w:t>
      </w:r>
    </w:p>
    <w:tbl>
      <w:tblPr>
        <w:tblStyle w:val="39"/>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96"/>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PrEx>
        <w:trPr>
          <w:trHeight w:val="10928" w:hRule="atLeast"/>
          <w:jc w:val="center"/>
        </w:trPr>
        <w:tc>
          <w:tcPr>
            <w:tcW w:w="8896"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b/>
                <w:color w:val="000000"/>
                <w:sz w:val="30"/>
              </w:rPr>
            </w:pPr>
          </w:p>
          <w:p>
            <w:pPr>
              <w:snapToGrid w:val="0"/>
              <w:jc w:val="center"/>
              <w:rPr>
                <w:b/>
                <w:color w:val="000000"/>
                <w:sz w:val="30"/>
              </w:rPr>
            </w:pPr>
          </w:p>
          <w:p>
            <w:pPr>
              <w:snapToGrid w:val="0"/>
              <w:jc w:val="center"/>
              <w:rPr>
                <w:b/>
                <w:color w:val="000000"/>
                <w:sz w:val="30"/>
              </w:rPr>
            </w:pPr>
          </w:p>
          <w:p>
            <w:pPr>
              <w:pStyle w:val="20"/>
              <w:spacing w:line="360" w:lineRule="auto"/>
              <w:jc w:val="center"/>
              <w:rPr>
                <w:rFonts w:ascii="楷体_GB2312" w:eastAsia="楷体_GB2312"/>
                <w:b/>
                <w:bCs/>
                <w:color w:val="000000"/>
                <w:sz w:val="44"/>
                <w:szCs w:val="44"/>
              </w:rPr>
            </w:pPr>
            <w:r>
              <w:rPr>
                <w:rFonts w:hint="eastAsia" w:ascii="楷体_GB2312" w:eastAsia="楷体_GB2312"/>
                <w:b/>
                <w:bCs/>
                <w:color w:val="000000"/>
                <w:sz w:val="44"/>
                <w:szCs w:val="44"/>
              </w:rPr>
              <w:t>台山市人民法院采购项目报价文件</w:t>
            </w: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4"/>
                <w:lang w:val="en-GB"/>
              </w:rPr>
            </w:pPr>
          </w:p>
          <w:p>
            <w:pPr>
              <w:spacing w:line="360" w:lineRule="auto"/>
              <w:jc w:val="center"/>
              <w:rPr>
                <w:rFonts w:ascii="黑体" w:eastAsia="黑体"/>
                <w:b/>
                <w:bCs/>
                <w:color w:val="000000"/>
                <w:sz w:val="28"/>
                <w:szCs w:val="28"/>
              </w:rPr>
            </w:pPr>
            <w:r>
              <w:rPr>
                <w:rFonts w:hint="eastAsia" w:ascii="黑体" w:eastAsia="黑体"/>
                <w:b/>
                <w:bCs/>
                <w:color w:val="000000"/>
                <w:sz w:val="28"/>
                <w:szCs w:val="28"/>
                <w:lang w:val="en-GB"/>
              </w:rPr>
              <w:t>密封内容：</w:t>
            </w:r>
            <w:r>
              <w:rPr>
                <w:rFonts w:hint="eastAsia"/>
                <w:b/>
                <w:color w:val="000000"/>
                <w:sz w:val="28"/>
                <w:szCs w:val="28"/>
              </w:rPr>
              <w:t>□</w:t>
            </w:r>
            <w:r>
              <w:rPr>
                <w:rFonts w:hint="eastAsia" w:ascii="黑体" w:eastAsia="黑体"/>
                <w:b/>
                <w:bCs/>
                <w:color w:val="000000"/>
                <w:sz w:val="28"/>
                <w:szCs w:val="28"/>
              </w:rPr>
              <w:t>报价文件</w:t>
            </w:r>
          </w:p>
          <w:p>
            <w:pPr>
              <w:jc w:val="center"/>
              <w:rPr>
                <w:rFonts w:ascii="黑体" w:eastAsia="黑体"/>
                <w:b/>
                <w:color w:val="000000"/>
                <w:sz w:val="11"/>
                <w:szCs w:val="11"/>
              </w:rPr>
            </w:pPr>
          </w:p>
          <w:p>
            <w:pPr>
              <w:jc w:val="center"/>
              <w:rPr>
                <w:rFonts w:ascii="黑体" w:eastAsia="黑体"/>
                <w:b/>
                <w:color w:val="000000"/>
                <w:sz w:val="11"/>
                <w:szCs w:val="11"/>
              </w:rPr>
            </w:pPr>
          </w:p>
          <w:p>
            <w:pPr>
              <w:jc w:val="center"/>
              <w:rPr>
                <w:rFonts w:ascii="黑体" w:eastAsia="黑体"/>
                <w:b/>
                <w:color w:val="000000"/>
                <w:sz w:val="11"/>
                <w:szCs w:val="11"/>
              </w:rPr>
            </w:pPr>
          </w:p>
          <w:p>
            <w:pPr>
              <w:spacing w:line="360" w:lineRule="auto"/>
              <w:ind w:firstLine="960" w:firstLineChars="400"/>
              <w:rPr>
                <w:rFonts w:ascii="宋体" w:hAnsi="宋体"/>
                <w:color w:val="000000"/>
                <w:sz w:val="24"/>
                <w:szCs w:val="24"/>
              </w:rPr>
            </w:pPr>
          </w:p>
          <w:p>
            <w:pPr>
              <w:spacing w:line="480" w:lineRule="auto"/>
              <w:ind w:firstLine="540" w:firstLineChars="225"/>
              <w:rPr>
                <w:rFonts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 xml:space="preserve">4      　　　   </w:t>
            </w:r>
          </w:p>
          <w:p>
            <w:pPr>
              <w:spacing w:line="480" w:lineRule="auto"/>
              <w:ind w:firstLine="540" w:firstLineChars="225"/>
              <w:rPr>
                <w:rFonts w:ascii="宋体" w:hAnsi="宋体"/>
                <w:color w:val="000000"/>
                <w:sz w:val="24"/>
                <w:szCs w:val="24"/>
                <w:u w:val="single"/>
              </w:rPr>
            </w:pPr>
            <w:r>
              <w:rPr>
                <w:rFonts w:hint="eastAsia" w:ascii="宋体" w:hAnsi="宋体"/>
                <w:color w:val="000000"/>
                <w:sz w:val="24"/>
                <w:szCs w:val="24"/>
              </w:rPr>
              <w:t>采购项目名称：</w:t>
            </w:r>
            <w:r>
              <w:rPr>
                <w:rFonts w:hint="eastAsia" w:ascii="宋体" w:hAnsi="宋体"/>
                <w:color w:val="000000"/>
                <w:sz w:val="24"/>
                <w:szCs w:val="24"/>
                <w:u w:val="single"/>
              </w:rPr>
              <w:t>台山市人民法院2023年</w:t>
            </w:r>
            <w:r>
              <w:rPr>
                <w:rFonts w:hint="eastAsia" w:ascii="宋体" w:hAnsi="宋体"/>
                <w:color w:val="000000"/>
                <w:u w:val="single"/>
              </w:rPr>
              <w:t>辅助送达服务采购项目</w:t>
            </w:r>
          </w:p>
          <w:p>
            <w:pPr>
              <w:spacing w:line="480" w:lineRule="auto"/>
              <w:ind w:firstLine="540" w:firstLineChars="22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lang w:val="en-GB"/>
              </w:rPr>
              <w:t xml:space="preserve">　    　　                </w:t>
            </w:r>
          </w:p>
          <w:p>
            <w:pPr>
              <w:spacing w:line="360" w:lineRule="auto"/>
              <w:ind w:firstLine="960" w:firstLineChars="400"/>
              <w:rPr>
                <w:rFonts w:ascii="宋体" w:hAnsi="宋体"/>
                <w:color w:val="000000"/>
                <w:sz w:val="24"/>
                <w:szCs w:val="24"/>
                <w:u w:val="dotted"/>
                <w:lang w:val="en-GB"/>
              </w:rPr>
            </w:pPr>
          </w:p>
          <w:p>
            <w:pPr>
              <w:jc w:val="center"/>
              <w:rPr>
                <w:bCs/>
                <w:color w:val="000000"/>
              </w:rPr>
            </w:pPr>
          </w:p>
          <w:p>
            <w:pPr>
              <w:jc w:val="center"/>
              <w:rPr>
                <w:bCs/>
                <w:color w:val="000000"/>
              </w:rPr>
            </w:pPr>
          </w:p>
          <w:p>
            <w:pPr>
              <w:jc w:val="center"/>
              <w:rPr>
                <w:bCs/>
                <w:color w:val="000000"/>
              </w:rPr>
            </w:pPr>
          </w:p>
          <w:p>
            <w:pPr>
              <w:spacing w:line="400" w:lineRule="atLeast"/>
              <w:ind w:firstLine="1108" w:firstLineChars="528"/>
              <w:rPr>
                <w:rFonts w:ascii="宋体" w:hAnsi="宋体"/>
                <w:bCs/>
                <w:color w:val="000000"/>
              </w:rPr>
            </w:pPr>
            <w:r>
              <w:rPr>
                <w:rFonts w:hint="eastAsia" w:ascii="宋体" w:hAnsi="宋体"/>
                <w:bCs/>
                <w:color w:val="000000"/>
              </w:rPr>
              <w:t>在2023年10月19日14时30分之前不得启封</w:t>
            </w:r>
          </w:p>
          <w:p>
            <w:pPr>
              <w:spacing w:line="400" w:lineRule="atLeast"/>
              <w:ind w:firstLine="1131" w:firstLineChars="539"/>
              <w:jc w:val="left"/>
              <w:rPr>
                <w:rFonts w:ascii="宋体" w:hAnsi="宋体"/>
                <w:color w:val="000000"/>
              </w:rPr>
            </w:pPr>
          </w:p>
          <w:p>
            <w:pPr>
              <w:spacing w:line="400" w:lineRule="atLeast"/>
              <w:ind w:firstLine="1131" w:firstLineChars="539"/>
              <w:jc w:val="left"/>
              <w:rPr>
                <w:rFonts w:ascii="宋体" w:hAnsi="宋体"/>
                <w:color w:val="000000"/>
              </w:rPr>
            </w:pPr>
          </w:p>
          <w:p>
            <w:pPr>
              <w:spacing w:line="400" w:lineRule="atLeast"/>
              <w:ind w:firstLine="1131" w:firstLineChars="539"/>
              <w:jc w:val="left"/>
              <w:rPr>
                <w:rFonts w:ascii="宋体" w:hAnsi="宋体"/>
                <w:color w:val="000000"/>
              </w:rPr>
            </w:pPr>
          </w:p>
          <w:p>
            <w:pPr>
              <w:spacing w:line="400" w:lineRule="atLeast"/>
              <w:ind w:left="630" w:leftChars="300" w:right="893" w:rightChars="425" w:firstLine="413" w:firstLineChars="196"/>
              <w:rPr>
                <w:color w:val="000000"/>
              </w:rPr>
            </w:pPr>
            <w:r>
              <w:rPr>
                <w:rFonts w:hint="eastAsia" w:ascii="宋体" w:hAnsi="宋体"/>
                <w:b/>
                <w:color w:val="000000"/>
              </w:rPr>
              <w:t>声明：</w:t>
            </w:r>
            <w:r>
              <w:rPr>
                <w:rFonts w:hint="eastAsia" w:ascii="宋体" w:hAnsi="宋体"/>
                <w:color w:val="000000"/>
              </w:rPr>
              <w:t>若发布的采购文件有任何修改或更正通知时，我方已在报价截止时间前</w:t>
            </w:r>
            <w:r>
              <w:rPr>
                <w:rFonts w:ascii="宋体" w:hAnsi="宋体"/>
                <w:color w:val="000000"/>
              </w:rPr>
              <w:t>24</w:t>
            </w:r>
            <w:r>
              <w:rPr>
                <w:rFonts w:hint="eastAsia" w:ascii="宋体" w:hAnsi="宋体"/>
                <w:color w:val="000000"/>
              </w:rPr>
              <w:t>小时在原公告栏上查阅知悉。</w:t>
            </w:r>
          </w:p>
        </w:tc>
      </w:tr>
    </w:tbl>
    <w:p>
      <w:pPr>
        <w:tabs>
          <w:tab w:val="left" w:pos="1080"/>
        </w:tabs>
        <w:adjustRightInd w:val="0"/>
        <w:snapToGrid w:val="0"/>
        <w:spacing w:line="400" w:lineRule="atLeast"/>
        <w:rPr>
          <w:b/>
          <w:color w:val="000000"/>
          <w:sz w:val="24"/>
          <w:lang w:val="en-GB"/>
        </w:rPr>
      </w:pPr>
      <w:r>
        <w:rPr>
          <w:rFonts w:hint="eastAsia"/>
          <w:b/>
          <w:color w:val="000000"/>
          <w:sz w:val="24"/>
          <w:lang w:val="en-GB"/>
        </w:rPr>
        <w:t>注：密封包装标贴此封面，并在封口处加盖公章。</w:t>
      </w:r>
    </w:p>
    <w:p>
      <w:pPr>
        <w:spacing w:line="360" w:lineRule="auto"/>
        <w:rPr>
          <w:rFonts w:ascii="黑体" w:hAnsi="黑体" w:eastAsia="黑体"/>
          <w:color w:val="000000"/>
          <w:sz w:val="28"/>
          <w:szCs w:val="28"/>
          <w:lang w:val="en-GB"/>
        </w:rPr>
      </w:pPr>
    </w:p>
    <w:p>
      <w:pPr>
        <w:adjustRightInd w:val="0"/>
        <w:snapToGrid w:val="0"/>
        <w:spacing w:after="120" w:afterLines="50" w:line="440" w:lineRule="atLeast"/>
        <w:rPr>
          <w:rFonts w:ascii="宋体" w:hAnsi="宋体"/>
          <w:b/>
          <w:color w:val="000000"/>
          <w:sz w:val="24"/>
          <w:szCs w:val="24"/>
        </w:rPr>
      </w:pPr>
      <w:r>
        <w:rPr>
          <w:color w:val="000000"/>
        </w:rPr>
        <w:br w:type="page"/>
      </w:r>
      <w:r>
        <w:rPr>
          <w:rFonts w:hint="eastAsia" w:ascii="宋体" w:hAnsi="宋体"/>
          <w:b/>
          <w:color w:val="000000"/>
          <w:sz w:val="24"/>
          <w:szCs w:val="24"/>
        </w:rPr>
        <w:t>报价文件封面：</w:t>
      </w:r>
    </w:p>
    <w:p>
      <w:pPr>
        <w:rPr>
          <w:rFonts w:ascii="宋体" w:hAnsi="宋体"/>
          <w:color w:val="000000"/>
          <w:sz w:val="28"/>
          <w:szCs w:val="28"/>
        </w:rPr>
      </w:pPr>
    </w:p>
    <w:p>
      <w:pPr>
        <w:pStyle w:val="24"/>
        <w:tabs>
          <w:tab w:val="left" w:pos="1260"/>
          <w:tab w:val="left" w:pos="7740"/>
        </w:tabs>
        <w:spacing w:line="360" w:lineRule="auto"/>
        <w:rPr>
          <w:rFonts w:hAnsi="宋体"/>
          <w:b/>
          <w:color w:val="000000"/>
          <w:spacing w:val="100"/>
          <w:w w:val="110"/>
          <w:kern w:val="0"/>
          <w:sz w:val="48"/>
          <w:szCs w:val="48"/>
        </w:rPr>
      </w:pPr>
    </w:p>
    <w:p>
      <w:pPr>
        <w:pStyle w:val="24"/>
        <w:tabs>
          <w:tab w:val="left" w:pos="1260"/>
          <w:tab w:val="left" w:pos="7740"/>
        </w:tabs>
        <w:spacing w:line="360" w:lineRule="auto"/>
        <w:rPr>
          <w:rFonts w:hAnsi="宋体"/>
          <w:b/>
          <w:color w:val="000000"/>
          <w:spacing w:val="100"/>
          <w:w w:val="110"/>
          <w:kern w:val="0"/>
          <w:sz w:val="28"/>
          <w:szCs w:val="28"/>
        </w:rPr>
      </w:pPr>
    </w:p>
    <w:p>
      <w:pPr>
        <w:pStyle w:val="24"/>
        <w:tabs>
          <w:tab w:val="left" w:pos="1260"/>
          <w:tab w:val="left" w:pos="7740"/>
        </w:tabs>
        <w:spacing w:line="360" w:lineRule="auto"/>
        <w:jc w:val="center"/>
        <w:rPr>
          <w:rFonts w:ascii="黑体" w:hAnsi="黑体" w:eastAsia="黑体"/>
          <w:color w:val="000000"/>
          <w:spacing w:val="100"/>
          <w:w w:val="110"/>
          <w:sz w:val="72"/>
          <w:szCs w:val="72"/>
        </w:rPr>
      </w:pPr>
      <w:r>
        <w:rPr>
          <w:rFonts w:hint="eastAsia" w:ascii="黑体" w:hAnsi="黑体" w:eastAsia="黑体"/>
          <w:color w:val="000000"/>
          <w:spacing w:val="100"/>
          <w:w w:val="110"/>
          <w:kern w:val="0"/>
          <w:sz w:val="72"/>
          <w:szCs w:val="72"/>
        </w:rPr>
        <w:t>报价文件</w:t>
      </w: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pStyle w:val="24"/>
        <w:tabs>
          <w:tab w:val="left" w:pos="7740"/>
        </w:tabs>
        <w:spacing w:line="360" w:lineRule="auto"/>
        <w:rPr>
          <w:rFonts w:hAnsi="宋体"/>
          <w:b/>
          <w:color w:val="000000"/>
          <w:sz w:val="28"/>
          <w:szCs w:val="28"/>
        </w:rPr>
      </w:pPr>
    </w:p>
    <w:p>
      <w:pPr>
        <w:adjustRightInd w:val="0"/>
        <w:snapToGrid w:val="0"/>
        <w:spacing w:line="800" w:lineRule="atLeast"/>
        <w:ind w:firstLine="900" w:firstLineChars="375"/>
        <w:rPr>
          <w:rFonts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 xml:space="preserve">4                </w:t>
      </w:r>
    </w:p>
    <w:p>
      <w:pPr>
        <w:adjustRightInd w:val="0"/>
        <w:snapToGrid w:val="0"/>
        <w:spacing w:line="800" w:lineRule="atLeast"/>
        <w:ind w:firstLine="900" w:firstLineChars="375"/>
        <w:rPr>
          <w:rFonts w:ascii="宋体" w:hAnsi="宋体"/>
          <w:color w:val="000000"/>
          <w:sz w:val="24"/>
          <w:szCs w:val="24"/>
          <w:u w:val="dotted"/>
        </w:rPr>
      </w:pPr>
      <w:r>
        <w:rPr>
          <w:rFonts w:hint="eastAsia" w:ascii="宋体" w:hAnsi="宋体"/>
          <w:color w:val="000000"/>
          <w:sz w:val="24"/>
          <w:szCs w:val="24"/>
        </w:rPr>
        <w:t>采购项目名称：</w:t>
      </w:r>
      <w:r>
        <w:rPr>
          <w:rFonts w:hint="eastAsia" w:ascii="宋体" w:hAnsi="宋体"/>
          <w:color w:val="000000"/>
          <w:sz w:val="24"/>
          <w:szCs w:val="24"/>
          <w:u w:val="single"/>
        </w:rPr>
        <w:t xml:space="preserve">台山市人民法院2023年辅助送达服务采购项目 </w:t>
      </w:r>
    </w:p>
    <w:p>
      <w:pPr>
        <w:adjustRightInd w:val="0"/>
        <w:snapToGrid w:val="0"/>
        <w:spacing w:line="800" w:lineRule="atLeast"/>
        <w:ind w:firstLine="900" w:firstLineChars="375"/>
        <w:rPr>
          <w:rFonts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adjustRightInd w:val="0"/>
        <w:snapToGrid w:val="0"/>
        <w:spacing w:line="800" w:lineRule="atLeast"/>
        <w:ind w:firstLine="900" w:firstLineChars="375"/>
        <w:rPr>
          <w:rFonts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年    月     日</w:t>
      </w:r>
      <w:r>
        <w:rPr>
          <w:rFonts w:hint="eastAsia" w:ascii="宋体" w:hAnsi="宋体"/>
          <w:color w:val="000000"/>
          <w:sz w:val="24"/>
          <w:szCs w:val="24"/>
        </w:rPr>
        <w:t xml:space="preserve"> </w:t>
      </w:r>
    </w:p>
    <w:p>
      <w:pPr>
        <w:tabs>
          <w:tab w:val="left" w:pos="7740"/>
        </w:tabs>
        <w:autoSpaceDE w:val="0"/>
        <w:autoSpaceDN w:val="0"/>
        <w:spacing w:line="360" w:lineRule="auto"/>
        <w:rPr>
          <w:rFonts w:ascii="宋体" w:hAnsi="宋体"/>
          <w:color w:val="000000"/>
        </w:rPr>
      </w:pPr>
    </w:p>
    <w:p>
      <w:pPr>
        <w:tabs>
          <w:tab w:val="left" w:pos="7740"/>
        </w:tabs>
        <w:autoSpaceDE w:val="0"/>
        <w:autoSpaceDN w:val="0"/>
        <w:spacing w:line="360" w:lineRule="auto"/>
        <w:rPr>
          <w:rFonts w:ascii="宋体" w:hAnsi="宋体"/>
          <w:b/>
          <w:color w:val="000000"/>
          <w:sz w:val="28"/>
          <w:szCs w:val="28"/>
        </w:rPr>
      </w:pPr>
    </w:p>
    <w:p>
      <w:pPr>
        <w:jc w:val="center"/>
        <w:rPr>
          <w:rFonts w:ascii="宋体" w:hAnsi="宋体"/>
          <w:b/>
          <w:color w:val="000000"/>
          <w:sz w:val="32"/>
          <w:szCs w:val="32"/>
        </w:rPr>
      </w:pPr>
      <w:r>
        <w:rPr>
          <w:b/>
          <w:color w:val="000000"/>
          <w:sz w:val="24"/>
          <w:szCs w:val="24"/>
        </w:rPr>
        <w:br w:type="page"/>
      </w:r>
      <w:r>
        <w:rPr>
          <w:rFonts w:hint="eastAsia" w:ascii="宋体" w:hAnsi="宋体"/>
          <w:b/>
          <w:color w:val="000000"/>
          <w:sz w:val="32"/>
          <w:szCs w:val="32"/>
        </w:rPr>
        <w:t>报价文件目录</w:t>
      </w:r>
    </w:p>
    <w:p>
      <w:pPr>
        <w:adjustRightInd w:val="0"/>
        <w:snapToGrid w:val="0"/>
        <w:spacing w:line="720" w:lineRule="atLeast"/>
        <w:rPr>
          <w:rFonts w:ascii="宋体" w:hAnsi="宋体"/>
          <w:b/>
          <w:color w:val="000000"/>
          <w:sz w:val="24"/>
        </w:rPr>
      </w:pPr>
    </w:p>
    <w:p>
      <w:pPr>
        <w:tabs>
          <w:tab w:val="left" w:pos="7740"/>
        </w:tabs>
        <w:adjustRightInd w:val="0"/>
        <w:snapToGrid w:val="0"/>
        <w:spacing w:line="720" w:lineRule="atLeast"/>
        <w:rPr>
          <w:rFonts w:ascii="宋体" w:hAnsi="宋体"/>
          <w:color w:val="000000"/>
          <w:sz w:val="24"/>
          <w:szCs w:val="24"/>
        </w:rPr>
      </w:pPr>
      <w:r>
        <w:rPr>
          <w:rFonts w:hint="eastAsia" w:ascii="宋体" w:hAnsi="宋体"/>
          <w:color w:val="000000"/>
          <w:sz w:val="24"/>
          <w:szCs w:val="24"/>
        </w:rPr>
        <w:t xml:space="preserve">一、自查表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ascii="宋体" w:hAnsi="宋体"/>
          <w:color w:val="000000"/>
          <w:sz w:val="24"/>
          <w:szCs w:val="24"/>
        </w:rPr>
      </w:pPr>
      <w:r>
        <w:fldChar w:fldCharType="begin"/>
      </w:r>
      <w:r>
        <w:instrText xml:space="preserve"> HYPERLINK \l "_Toc175110017" </w:instrText>
      </w:r>
      <w:r>
        <w:fldChar w:fldCharType="separate"/>
      </w:r>
      <w:r>
        <w:rPr>
          <w:rFonts w:hint="eastAsia" w:ascii="宋体" w:hAnsi="宋体"/>
          <w:color w:val="000000"/>
          <w:sz w:val="24"/>
          <w:szCs w:val="24"/>
        </w:rPr>
        <w:t>二、</w:t>
      </w:r>
      <w:r>
        <w:rPr>
          <w:rFonts w:hint="eastAsia" w:ascii="宋体" w:hAnsi="宋体"/>
          <w:color w:val="000000"/>
          <w:sz w:val="24"/>
          <w:szCs w:val="24"/>
        </w:rPr>
        <w:fldChar w:fldCharType="end"/>
      </w:r>
      <w:r>
        <w:rPr>
          <w:rFonts w:hint="eastAsia" w:ascii="宋体" w:hAnsi="宋体"/>
          <w:color w:val="000000"/>
          <w:sz w:val="24"/>
          <w:szCs w:val="24"/>
        </w:rPr>
        <w:t xml:space="preserve">资格性文件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ascii="宋体" w:hAnsi="宋体"/>
          <w:color w:val="000000"/>
          <w:sz w:val="24"/>
          <w:szCs w:val="24"/>
        </w:rPr>
      </w:pPr>
      <w:r>
        <w:rPr>
          <w:rFonts w:hint="eastAsia" w:ascii="宋体" w:hAnsi="宋体"/>
          <w:color w:val="000000"/>
          <w:sz w:val="24"/>
          <w:szCs w:val="24"/>
        </w:rPr>
        <w:t xml:space="preserve">三、条款响应表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720" w:lineRule="atLeast"/>
        <w:jc w:val="left"/>
        <w:rPr>
          <w:rFonts w:ascii="宋体" w:hAnsi="宋体"/>
          <w:color w:val="000000"/>
          <w:sz w:val="24"/>
          <w:szCs w:val="24"/>
        </w:rPr>
      </w:pPr>
      <w:r>
        <w:rPr>
          <w:rFonts w:hint="eastAsia" w:ascii="宋体" w:hAnsi="宋体"/>
          <w:color w:val="000000"/>
          <w:sz w:val="24"/>
          <w:szCs w:val="24"/>
        </w:rPr>
        <w:t xml:space="preserve">四、价格部分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b/>
          <w:color w:val="000000"/>
          <w:sz w:val="24"/>
          <w:szCs w:val="24"/>
        </w:rPr>
      </w:pPr>
      <w:r>
        <w:rPr>
          <w:rFonts w:hint="eastAsia" w:ascii="宋体" w:hAnsi="宋体"/>
          <w:b/>
          <w:color w:val="000000"/>
          <w:sz w:val="24"/>
          <w:szCs w:val="24"/>
        </w:rPr>
        <w:t>注：</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1、请报价人按照以下文件的要求格式、内容，顺序制作报价文件，并请编制目录及页码。</w:t>
      </w:r>
    </w:p>
    <w:p>
      <w:pPr>
        <w:adjustRightInd w:val="0"/>
        <w:snapToGrid w:val="0"/>
        <w:spacing w:line="360" w:lineRule="auto"/>
        <w:ind w:firstLine="590" w:firstLineChars="245"/>
        <w:rPr>
          <w:rFonts w:ascii="宋体" w:hAnsi="宋体"/>
          <w:b/>
          <w:color w:val="000000"/>
          <w:sz w:val="24"/>
          <w:szCs w:val="24"/>
        </w:rPr>
      </w:pPr>
      <w:r>
        <w:rPr>
          <w:rFonts w:hint="eastAsia" w:ascii="宋体" w:hAnsi="宋体"/>
          <w:b/>
          <w:color w:val="000000"/>
          <w:sz w:val="24"/>
          <w:szCs w:val="24"/>
        </w:rPr>
        <w:t>2、</w:t>
      </w:r>
      <w:r>
        <w:rPr>
          <w:rFonts w:hint="eastAsia" w:ascii="宋体" w:hAnsi="宋体"/>
          <w:b/>
          <w:color w:val="000000"/>
          <w:sz w:val="24"/>
          <w:u w:val="single"/>
          <w:lang w:val="en-GB"/>
        </w:rPr>
        <w:t>报价文件应骑缝加盖报价人单位公章或报价文件每页（含封面）加盖报价人单位公章。</w:t>
      </w:r>
    </w:p>
    <w:p>
      <w:pPr>
        <w:adjustRightInd w:val="0"/>
        <w:snapToGrid w:val="0"/>
        <w:spacing w:after="120" w:afterLines="50" w:line="440" w:lineRule="atLeast"/>
        <w:rPr>
          <w:b/>
          <w:color w:val="000000"/>
          <w:sz w:val="24"/>
          <w:szCs w:val="24"/>
        </w:rPr>
      </w:pPr>
    </w:p>
    <w:p>
      <w:pPr>
        <w:pStyle w:val="4"/>
        <w:snapToGrid w:val="0"/>
        <w:spacing w:after="0" w:afterLines="0"/>
        <w:ind w:left="-6"/>
        <w:jc w:val="left"/>
        <w:rPr>
          <w:sz w:val="28"/>
          <w:szCs w:val="28"/>
        </w:rPr>
      </w:pPr>
      <w:bookmarkStart w:id="20" w:name="_Toc417571736"/>
      <w:r>
        <w:rPr>
          <w:snapToGrid w:val="0"/>
        </w:rPr>
        <w:br w:type="page"/>
      </w:r>
      <w:bookmarkEnd w:id="20"/>
      <w:bookmarkStart w:id="21" w:name="法定代表人授权书"/>
      <w:bookmarkEnd w:id="21"/>
      <w:r>
        <w:rPr>
          <w:rFonts w:hint="eastAsia"/>
          <w:snapToGrid w:val="0"/>
          <w:sz w:val="28"/>
          <w:szCs w:val="28"/>
        </w:rPr>
        <w:t>一、</w:t>
      </w:r>
      <w:r>
        <w:rPr>
          <w:rFonts w:hint="eastAsia"/>
          <w:sz w:val="28"/>
          <w:szCs w:val="28"/>
        </w:rPr>
        <w:t>自查表</w:t>
      </w:r>
    </w:p>
    <w:p>
      <w:pPr>
        <w:rPr>
          <w:rFonts w:ascii="宋体" w:hAnsi="宋体"/>
          <w:color w:val="000000"/>
          <w:sz w:val="24"/>
          <w:szCs w:val="24"/>
          <w:lang w:val="en-GB"/>
        </w:rPr>
      </w:pPr>
      <w:r>
        <w:rPr>
          <w:rFonts w:hint="eastAsia" w:ascii="宋体" w:hAnsi="宋体"/>
          <w:color w:val="000000"/>
          <w:sz w:val="24"/>
          <w:szCs w:val="24"/>
        </w:rPr>
        <w:t>（一）资格性/符合性自查表</w:t>
      </w:r>
    </w:p>
    <w:tbl>
      <w:tblPr>
        <w:tblStyle w:val="39"/>
        <w:tblW w:w="90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50" w:type="dxa"/>
          <w:bottom w:w="85" w:type="dxa"/>
          <w:right w:w="150" w:type="dxa"/>
        </w:tblCellMar>
      </w:tblPr>
      <w:tblGrid>
        <w:gridCol w:w="784"/>
        <w:gridCol w:w="5809"/>
        <w:gridCol w:w="1078"/>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621" w:hRule="atLeast"/>
        </w:trPr>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评审内容</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宋体" w:hAnsi="宋体" w:cs="Arial"/>
                <w:color w:val="000000"/>
                <w:sz w:val="24"/>
                <w:szCs w:val="24"/>
              </w:rPr>
            </w:pPr>
            <w:r>
              <w:rPr>
                <w:rStyle w:val="80"/>
                <w:rFonts w:hint="eastAsia" w:ascii="宋体" w:hAnsi="宋体"/>
                <w:color w:val="000000"/>
              </w:rPr>
              <w:t>采购文件要求</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Style w:val="80"/>
                <w:rFonts w:ascii="宋体" w:hAnsi="宋体"/>
                <w:color w:val="000000"/>
              </w:rPr>
            </w:pPr>
            <w:r>
              <w:rPr>
                <w:rStyle w:val="80"/>
                <w:rFonts w:hint="eastAsia" w:ascii="宋体" w:hAnsi="宋体"/>
                <w:color w:val="000000"/>
              </w:rPr>
              <w:t>自查</w:t>
            </w:r>
          </w:p>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结论</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0"/>
                <w:rFonts w:hint="eastAsia" w:ascii="宋体" w:hAnsi="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宋体" w:hAnsi="宋体" w:cs="Arial"/>
                <w:color w:val="000000"/>
                <w:sz w:val="24"/>
                <w:szCs w:val="24"/>
              </w:rPr>
            </w:pPr>
            <w:r>
              <w:rPr>
                <w:rFonts w:hint="eastAsia" w:ascii="宋体" w:hAnsi="宋体" w:cs="Arial"/>
                <w:color w:val="000000"/>
                <w:sz w:val="24"/>
                <w:szCs w:val="24"/>
              </w:rPr>
              <w:t>资格性检查</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1.报价承诺函。按对应格式文件签署、盖章(原件)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2.法定代表人/负责人资格证明书及授权委托书。按对应格式文件签署、盖章(原件)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3</w:t>
            </w:r>
            <w:r>
              <w:rPr>
                <w:rFonts w:hint="eastAsia" w:ascii="宋体" w:hAnsi="宋体"/>
                <w:color w:val="000000"/>
              </w:rPr>
              <w:t>.报价人必须是</w:t>
            </w:r>
            <w:r>
              <w:rPr>
                <w:rFonts w:hint="eastAsia" w:ascii="宋体" w:hAnsi="宋体" w:cs="宋体"/>
                <w:snapToGrid w:val="0"/>
                <w:color w:val="000000"/>
                <w:kern w:val="0"/>
              </w:rPr>
              <w:t>具有独立承担民事责任能力的在中华人民共和国境内注册的法人或其他组织或自然人，报价时提交有效的营业执照（或事业法人登记证或身份证等相关证明）副本复印件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lang w:val="zh-CN"/>
              </w:rPr>
            </w:pPr>
            <w:r>
              <w:rPr>
                <w:rFonts w:hint="eastAsia" w:ascii="宋体" w:hAnsi="宋体"/>
                <w:color w:val="000000"/>
                <w:lang w:val="zh-CN"/>
              </w:rPr>
              <w:t>4</w:t>
            </w:r>
            <w:r>
              <w:rPr>
                <w:rFonts w:hint="eastAsia" w:ascii="宋体" w:hAnsi="宋体"/>
                <w:color w:val="000000"/>
              </w:rPr>
              <w:t>.报价人的税务登记证副本复印件（如有三证合一的证书，不需要另外单独提供税务登记证书）</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lang w:val="zh-CN"/>
              </w:rPr>
            </w:pPr>
            <w:r>
              <w:rPr>
                <w:rFonts w:hint="eastAsia" w:ascii="宋体" w:hAnsi="宋体"/>
                <w:color w:val="000000"/>
              </w:rPr>
              <w:t>5.报价人的基本账户开户许可证复印件</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6</w:t>
            </w:r>
            <w:r>
              <w:rPr>
                <w:rFonts w:hint="eastAsia" w:ascii="宋体" w:hAnsi="宋体"/>
                <w:color w:val="000000"/>
              </w:rPr>
              <w:t>.报价人必须具有从事本项目的经营范围和专业技术能力（提供相关证明资料）</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rPr>
              <w:t>7.报价人</w:t>
            </w:r>
            <w:r>
              <w:rPr>
                <w:rFonts w:hint="eastAsia" w:ascii="宋体" w:hAnsi="宋体" w:cs="宋体"/>
                <w:color w:val="000000"/>
                <w:kern w:val="0"/>
              </w:rPr>
              <w:t>参加政府采购活动前三年内，在经营活动中没有重大违法记录（提供书面声明）</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lang w:val="zh-CN"/>
              </w:rPr>
              <w:t>8.报价人</w:t>
            </w:r>
            <w:r>
              <w:rPr>
                <w:rFonts w:hint="eastAsia" w:ascii="宋体" w:hAnsi="宋体" w:cs="宋体"/>
                <w:snapToGrid w:val="0"/>
                <w:color w:val="000000"/>
                <w:kern w:val="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证明资料）</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宋体" w:hAnsi="宋体"/>
                <w:color w:val="000000"/>
                <w:sz w:val="24"/>
                <w:szCs w:val="24"/>
                <w:lang w:val="zh-CN"/>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snapToGrid w:val="0"/>
                <w:color w:val="000000"/>
                <w:kern w:val="0"/>
              </w:rPr>
            </w:pPr>
            <w:r>
              <w:rPr>
                <w:rFonts w:hint="eastAsia" w:ascii="宋体" w:hAnsi="宋体"/>
                <w:snapToGrid w:val="0"/>
                <w:color w:val="000000"/>
                <w:kern w:val="0"/>
              </w:rPr>
              <w:t>9. 本项目不接受联合体报价</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restart"/>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before="0" w:beforeAutospacing="0" w:after="0" w:afterAutospacing="0" w:line="240" w:lineRule="atLeast"/>
              <w:jc w:val="center"/>
              <w:rPr>
                <w:rFonts w:cs="Arial"/>
                <w:kern w:val="2"/>
                <w:lang w:val="en-US"/>
              </w:rPr>
            </w:pPr>
            <w:r>
              <w:rPr>
                <w:rFonts w:hint="eastAsia" w:cs="Arial"/>
                <w:kern w:val="2"/>
                <w:lang w:val="en-US"/>
              </w:rPr>
              <w:t>符合性审查</w:t>
            </w: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1. 报价文件完全响应采购文件带“★”要求及其他实质性要求</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s="宋体"/>
                <w:color w:val="000000"/>
              </w:rPr>
            </w:pPr>
            <w:r>
              <w:rPr>
                <w:rFonts w:hint="eastAsia" w:ascii="宋体" w:hAnsi="宋体"/>
                <w:color w:val="000000"/>
              </w:rPr>
              <w:t>2.报价总金额是固定价且是唯一的，最终报价未超过本项目采购预算</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bl>
    <w:p>
      <w:pPr>
        <w:tabs>
          <w:tab w:val="left" w:pos="7740"/>
        </w:tabs>
        <w:adjustRightInd w:val="0"/>
        <w:snapToGrid w:val="0"/>
        <w:spacing w:line="240" w:lineRule="atLeast"/>
        <w:rPr>
          <w:rFonts w:ascii="宋体" w:hAnsi="宋体"/>
          <w:color w:val="000000"/>
        </w:rPr>
      </w:pPr>
      <w:r>
        <w:rPr>
          <w:rFonts w:hint="eastAsia" w:ascii="宋体" w:hAnsi="宋体"/>
          <w:b/>
          <w:color w:val="000000"/>
        </w:rPr>
        <w:t>注：</w:t>
      </w:r>
      <w:r>
        <w:rPr>
          <w:rFonts w:hint="eastAsia" w:ascii="宋体" w:hAnsi="宋体"/>
          <w:color w:val="000000"/>
        </w:rPr>
        <w:t>以上材料将作为报价人资格性、符合性审查内容的重要组成部分，报价人必须严格按照其内容及序列要求在报价文件中如实提供，并在对应的□打“√”。</w:t>
      </w:r>
    </w:p>
    <w:p>
      <w:pPr>
        <w:tabs>
          <w:tab w:val="left" w:pos="7740"/>
        </w:tabs>
        <w:adjustRightInd w:val="0"/>
        <w:snapToGrid w:val="0"/>
        <w:spacing w:line="480" w:lineRule="atLeast"/>
        <w:rPr>
          <w:rFonts w:ascii="宋体" w:hAnsi="宋体"/>
          <w:color w:val="000000"/>
          <w:sz w:val="24"/>
          <w:szCs w:val="24"/>
        </w:rPr>
      </w:pPr>
    </w:p>
    <w:p>
      <w:pPr>
        <w:tabs>
          <w:tab w:val="left" w:pos="7740"/>
        </w:tabs>
        <w:adjustRightInd w:val="0"/>
        <w:snapToGrid w:val="0"/>
        <w:spacing w:line="480" w:lineRule="atLeast"/>
        <w:rPr>
          <w:rFonts w:ascii="宋体" w:hAnsi="宋体"/>
          <w:color w:val="000000"/>
          <w:sz w:val="24"/>
          <w:szCs w:val="24"/>
        </w:rPr>
      </w:pPr>
    </w:p>
    <w:p>
      <w:pPr>
        <w:tabs>
          <w:tab w:val="left" w:pos="7740"/>
        </w:tabs>
        <w:adjustRightInd w:val="0"/>
        <w:snapToGrid w:val="0"/>
        <w:spacing w:line="480" w:lineRule="atLeast"/>
        <w:rPr>
          <w:rFonts w:ascii="宋体" w:hAnsi="宋体"/>
          <w:color w:val="000000"/>
          <w:sz w:val="24"/>
          <w:szCs w:val="24"/>
          <w:u w:val="single"/>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ascii="宋体" w:hAnsi="宋体"/>
          <w:color w:val="000000"/>
          <w:sz w:val="24"/>
          <w:szCs w:val="24"/>
        </w:rPr>
      </w:pPr>
      <w:r>
        <w:rPr>
          <w:rFonts w:hint="eastAsia" w:ascii="宋体" w:hAnsi="宋体"/>
          <w:color w:val="000000"/>
          <w:sz w:val="24"/>
          <w:szCs w:val="24"/>
        </w:rPr>
        <w:t>法定代表/负责人（或法定代表/负责人授权代表）签字：</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ascii="宋体" w:hAnsi="宋体"/>
          <w:b/>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pStyle w:val="4"/>
        <w:snapToGrid w:val="0"/>
        <w:spacing w:after="120"/>
        <w:jc w:val="left"/>
        <w:rPr>
          <w:snapToGrid w:val="0"/>
          <w:sz w:val="28"/>
          <w:szCs w:val="28"/>
        </w:rPr>
      </w:pPr>
      <w:r>
        <w:rPr>
          <w:snapToGrid w:val="0"/>
          <w:sz w:val="28"/>
          <w:szCs w:val="28"/>
        </w:rPr>
        <w:br w:type="page"/>
      </w:r>
      <w:r>
        <w:rPr>
          <w:rFonts w:hint="eastAsia"/>
          <w:snapToGrid w:val="0"/>
          <w:sz w:val="28"/>
          <w:szCs w:val="28"/>
        </w:rPr>
        <w:t>二、资格性文件</w:t>
      </w:r>
    </w:p>
    <w:p>
      <w:pPr>
        <w:adjustRightInd w:val="0"/>
        <w:snapToGrid w:val="0"/>
        <w:spacing w:after="120" w:afterLines="50" w:line="440" w:lineRule="atLeast"/>
        <w:rPr>
          <w:rFonts w:ascii="宋体" w:hAnsi="宋体"/>
          <w:b/>
          <w:color w:val="000000"/>
          <w:sz w:val="24"/>
          <w:szCs w:val="24"/>
        </w:rPr>
      </w:pPr>
      <w:r>
        <w:rPr>
          <w:rFonts w:hint="eastAsia" w:ascii="宋体" w:hAnsi="宋体"/>
          <w:b/>
          <w:color w:val="000000"/>
          <w:sz w:val="24"/>
          <w:szCs w:val="24"/>
        </w:rPr>
        <w:t>（一）报价承诺函</w:t>
      </w:r>
    </w:p>
    <w:p>
      <w:pPr>
        <w:adjustRightInd w:val="0"/>
        <w:snapToGrid w:val="0"/>
        <w:spacing w:after="120" w:afterLines="50" w:line="440" w:lineRule="atLeast"/>
        <w:jc w:val="center"/>
        <w:rPr>
          <w:rFonts w:ascii="宋体" w:hAnsi="宋体"/>
          <w:b/>
          <w:color w:val="000000"/>
          <w:sz w:val="24"/>
          <w:szCs w:val="24"/>
        </w:rPr>
      </w:pPr>
      <w:r>
        <w:rPr>
          <w:rFonts w:hint="eastAsia" w:ascii="宋体" w:hAnsi="宋体"/>
          <w:b/>
          <w:color w:val="000000"/>
          <w:sz w:val="24"/>
          <w:szCs w:val="24"/>
        </w:rPr>
        <w:t>报价承诺函</w:t>
      </w:r>
    </w:p>
    <w:p>
      <w:pPr>
        <w:spacing w:line="380" w:lineRule="exact"/>
        <w:ind w:left="361" w:hanging="361" w:hangingChars="150"/>
        <w:rPr>
          <w:rFonts w:ascii="宋体" w:hAnsi="宋体"/>
          <w:b/>
          <w:bCs/>
          <w:color w:val="000000"/>
          <w:sz w:val="24"/>
          <w:szCs w:val="24"/>
          <w:lang w:val="en-GB"/>
        </w:rPr>
      </w:pPr>
      <w:r>
        <w:rPr>
          <w:rFonts w:hint="eastAsia" w:ascii="宋体" w:hAnsi="宋体"/>
          <w:b/>
          <w:bCs/>
          <w:color w:val="000000"/>
          <w:sz w:val="24"/>
          <w:szCs w:val="24"/>
          <w:lang w:val="en-GB"/>
        </w:rPr>
        <w:t>致：</w:t>
      </w:r>
      <w:r>
        <w:rPr>
          <w:rFonts w:hint="eastAsia" w:ascii="宋体" w:hAnsi="宋体"/>
          <w:b/>
          <w:bCs/>
          <w:color w:val="000000"/>
          <w:sz w:val="24"/>
          <w:szCs w:val="24"/>
          <w:u w:val="single"/>
          <w:lang w:val="en-GB"/>
        </w:rPr>
        <w:t>台山市人民法院</w:t>
      </w:r>
    </w:p>
    <w:p>
      <w:pPr>
        <w:spacing w:line="380" w:lineRule="exact"/>
        <w:ind w:firstLine="420"/>
        <w:rPr>
          <w:rFonts w:ascii="宋体" w:hAnsi="宋体"/>
          <w:color w:val="000000"/>
          <w:sz w:val="24"/>
          <w:szCs w:val="24"/>
        </w:rPr>
      </w:pPr>
      <w:r>
        <w:rPr>
          <w:rFonts w:hint="eastAsia" w:ascii="宋体" w:hAnsi="宋体"/>
          <w:color w:val="000000"/>
          <w:kern w:val="0"/>
          <w:sz w:val="24"/>
        </w:rPr>
        <w:t>依据贵方</w:t>
      </w:r>
      <w:r>
        <w:rPr>
          <w:rFonts w:hint="eastAsia" w:ascii="宋体" w:hAnsi="宋体"/>
          <w:color w:val="000000"/>
          <w:sz w:val="24"/>
        </w:rPr>
        <w:t>采购项目</w:t>
      </w:r>
      <w:r>
        <w:rPr>
          <w:rFonts w:hint="eastAsia" w:ascii="宋体" w:hAnsi="宋体"/>
          <w:color w:val="000000"/>
          <w:sz w:val="24"/>
          <w:u w:val="single"/>
        </w:rPr>
        <w:t xml:space="preserve">  </w:t>
      </w:r>
      <w:r>
        <w:rPr>
          <w:rFonts w:hint="eastAsia" w:ascii="宋体" w:hAnsi="宋体"/>
          <w:b/>
          <w:color w:val="000000"/>
          <w:sz w:val="24"/>
          <w:u w:val="single"/>
        </w:rPr>
        <w:t>（采购项目名称：</w:t>
      </w:r>
      <w:r>
        <w:rPr>
          <w:rFonts w:hint="eastAsia" w:ascii="宋体" w:hAnsi="宋体"/>
          <w:b/>
          <w:color w:val="000000"/>
          <w:sz w:val="24"/>
          <w:szCs w:val="24"/>
          <w:u w:val="single"/>
        </w:rPr>
        <w:t>台山市人民法院2023年辅助送达服务采购项目，</w:t>
      </w:r>
      <w:r>
        <w:rPr>
          <w:rFonts w:hint="eastAsia" w:ascii="宋体" w:hAnsi="宋体"/>
          <w:b/>
          <w:color w:val="000000"/>
          <w:sz w:val="24"/>
          <w:u w:val="single"/>
        </w:rPr>
        <w:t>采购项目编号：</w:t>
      </w:r>
      <w:r>
        <w:rPr>
          <w:rFonts w:ascii="宋体" w:hAnsi="宋体"/>
          <w:b/>
          <w:color w:val="000000"/>
          <w:sz w:val="24"/>
          <w:szCs w:val="24"/>
          <w:u w:val="single"/>
        </w:rPr>
        <w:t>TSFY-202</w:t>
      </w:r>
      <w:r>
        <w:rPr>
          <w:rFonts w:hint="eastAsia" w:ascii="宋体" w:hAnsi="宋体"/>
          <w:b/>
          <w:color w:val="000000"/>
          <w:sz w:val="24"/>
          <w:szCs w:val="24"/>
          <w:u w:val="single"/>
        </w:rPr>
        <w:t>3</w:t>
      </w:r>
      <w:r>
        <w:rPr>
          <w:rFonts w:ascii="宋体" w:hAnsi="宋体"/>
          <w:b/>
          <w:color w:val="000000"/>
          <w:sz w:val="24"/>
          <w:szCs w:val="24"/>
          <w:u w:val="single"/>
        </w:rPr>
        <w:t>00</w:t>
      </w:r>
      <w:r>
        <w:rPr>
          <w:rFonts w:hint="eastAsia" w:ascii="宋体" w:hAnsi="宋体"/>
          <w:b/>
          <w:color w:val="000000"/>
          <w:sz w:val="24"/>
          <w:szCs w:val="24"/>
          <w:u w:val="single"/>
        </w:rPr>
        <w:t xml:space="preserve">4）  </w:t>
      </w:r>
      <w:r>
        <w:rPr>
          <w:rFonts w:hint="eastAsia" w:ascii="宋体" w:hAnsi="宋体"/>
          <w:color w:val="000000"/>
          <w:kern w:val="0"/>
          <w:sz w:val="24"/>
        </w:rPr>
        <w:t>的采购邀请，我方代表</w:t>
      </w:r>
      <w:r>
        <w:rPr>
          <w:rFonts w:hint="eastAsia" w:ascii="宋体" w:hAnsi="宋体"/>
          <w:color w:val="000000"/>
          <w:kern w:val="0"/>
          <w:sz w:val="24"/>
          <w:u w:val="single"/>
        </w:rPr>
        <w:t xml:space="preserve">  </w:t>
      </w:r>
      <w:r>
        <w:rPr>
          <w:rFonts w:hint="eastAsia" w:ascii="宋体" w:hAnsi="宋体"/>
          <w:b/>
          <w:i/>
          <w:color w:val="000000"/>
          <w:sz w:val="24"/>
          <w:u w:val="single"/>
        </w:rPr>
        <w:t xml:space="preserve">（姓名、职务）   </w:t>
      </w:r>
      <w:r>
        <w:rPr>
          <w:rFonts w:hint="eastAsia" w:ascii="宋体" w:hAnsi="宋体"/>
          <w:color w:val="000000"/>
          <w:kern w:val="0"/>
          <w:sz w:val="24"/>
        </w:rPr>
        <w:t>经正式授权并代表</w:t>
      </w:r>
      <w:r>
        <w:rPr>
          <w:rFonts w:hint="eastAsia" w:ascii="宋体" w:hAnsi="宋体"/>
          <w:color w:val="000000"/>
          <w:kern w:val="0"/>
          <w:sz w:val="24"/>
          <w:u w:val="single"/>
        </w:rPr>
        <w:t xml:space="preserve">   </w:t>
      </w:r>
      <w:r>
        <w:rPr>
          <w:rFonts w:hint="eastAsia" w:ascii="宋体" w:hAnsi="宋体"/>
          <w:b/>
          <w:i/>
          <w:color w:val="000000"/>
          <w:kern w:val="0"/>
          <w:sz w:val="24"/>
          <w:u w:val="single"/>
        </w:rPr>
        <w:t>（报价人名称）</w:t>
      </w:r>
      <w:r>
        <w:rPr>
          <w:rFonts w:hint="eastAsia" w:ascii="宋体" w:hAnsi="宋体"/>
          <w:color w:val="000000"/>
          <w:kern w:val="0"/>
          <w:sz w:val="24"/>
          <w:u w:val="single"/>
        </w:rPr>
        <w:t xml:space="preserve">   </w:t>
      </w:r>
      <w:r>
        <w:rPr>
          <w:rFonts w:hint="eastAsia" w:ascii="宋体" w:hAnsi="宋体"/>
          <w:color w:val="000000"/>
          <w:sz w:val="24"/>
          <w:szCs w:val="24"/>
        </w:rPr>
        <w:t>递交密封册装的全套报价文件，在此，我方为一切报价行为作</w:t>
      </w:r>
      <w:r>
        <w:rPr>
          <w:rFonts w:hint="eastAsia" w:ascii="宋体" w:hAnsi="宋体"/>
          <w:bCs/>
          <w:color w:val="000000"/>
          <w:sz w:val="24"/>
          <w:szCs w:val="24"/>
        </w:rPr>
        <w:t>郑重承诺及声明如下：</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我方已认真阅读了全部采购文件及其相关文件，完全清楚理解其内容及规约，同意接受文件的要求，均没有任何异议、质疑和误解之处。</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lang w:val="en-GB"/>
        </w:rPr>
        <w:t>报价有效期为自递交报价文件起至确定正式成交人止</w:t>
      </w:r>
      <w:r>
        <w:rPr>
          <w:rFonts w:ascii="宋体" w:hAnsi="宋体"/>
          <w:color w:val="000000"/>
          <w:sz w:val="24"/>
          <w:szCs w:val="24"/>
        </w:rPr>
        <w:t>，若我方获成交资格，报价有效期则相应延长至项目最终验收合格之日，不论在任何时候，定将按</w:t>
      </w:r>
      <w:r>
        <w:rPr>
          <w:rFonts w:hint="eastAsia" w:ascii="宋体" w:hAnsi="宋体"/>
          <w:color w:val="000000"/>
          <w:sz w:val="24"/>
          <w:szCs w:val="24"/>
        </w:rPr>
        <w:t>采购</w:t>
      </w:r>
      <w:r>
        <w:rPr>
          <w:rFonts w:ascii="宋体" w:hAnsi="宋体"/>
          <w:color w:val="000000"/>
          <w:sz w:val="24"/>
          <w:szCs w:val="24"/>
        </w:rPr>
        <w:t>方的要求在规定时间内如实提供一切补充材料。</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完全服从和尊重</w:t>
      </w:r>
      <w:r>
        <w:rPr>
          <w:rFonts w:hint="eastAsia" w:ascii="宋体" w:hAnsi="宋体" w:cs="宋体"/>
          <w:color w:val="000000"/>
          <w:sz w:val="24"/>
          <w:szCs w:val="24"/>
        </w:rPr>
        <w:t>评审小组</w:t>
      </w:r>
      <w:r>
        <w:rPr>
          <w:rFonts w:ascii="宋体" w:hAnsi="宋体"/>
          <w:color w:val="000000"/>
          <w:sz w:val="24"/>
          <w:szCs w:val="24"/>
        </w:rPr>
        <w:t>所作的评审结果和决定，同时清楚理解到仅凭</w:t>
      </w:r>
      <w:r>
        <w:rPr>
          <w:rFonts w:hint="eastAsia" w:ascii="宋体" w:hAnsi="宋体"/>
          <w:color w:val="000000"/>
          <w:sz w:val="24"/>
          <w:szCs w:val="24"/>
        </w:rPr>
        <w:t>投标</w:t>
      </w:r>
      <w:r>
        <w:rPr>
          <w:rFonts w:ascii="宋体" w:hAnsi="宋体"/>
          <w:color w:val="000000"/>
          <w:sz w:val="24"/>
          <w:szCs w:val="24"/>
        </w:rPr>
        <w:t>报价或单一竞争优势并非是决定成交资格的唯一重要依据。</w:t>
      </w:r>
    </w:p>
    <w:p>
      <w:pPr>
        <w:numPr>
          <w:ilvl w:val="0"/>
          <w:numId w:val="4"/>
        </w:numPr>
        <w:spacing w:line="380" w:lineRule="exact"/>
        <w:ind w:left="0" w:firstLine="480" w:firstLineChars="200"/>
        <w:rPr>
          <w:rFonts w:ascii="宋体" w:hAnsi="宋体"/>
          <w:color w:val="000000"/>
          <w:sz w:val="24"/>
          <w:szCs w:val="24"/>
        </w:rPr>
      </w:pPr>
      <w:r>
        <w:rPr>
          <w:rFonts w:hint="eastAsia" w:ascii="宋体" w:hAnsi="宋体"/>
          <w:color w:val="000000"/>
          <w:sz w:val="24"/>
          <w:szCs w:val="24"/>
        </w:rPr>
        <w:t>同意按</w:t>
      </w:r>
      <w:r>
        <w:rPr>
          <w:rFonts w:ascii="宋体" w:hAnsi="宋体"/>
          <w:color w:val="000000"/>
          <w:sz w:val="24"/>
          <w:szCs w:val="24"/>
        </w:rPr>
        <w:t>采购</w:t>
      </w:r>
      <w:r>
        <w:rPr>
          <w:rFonts w:hint="eastAsia" w:ascii="宋体" w:hAnsi="宋体"/>
          <w:color w:val="000000"/>
          <w:sz w:val="24"/>
          <w:szCs w:val="24"/>
        </w:rPr>
        <w:t>文件要求认真履行成交人的义务，若我方行为不当而损害了采购方的合法权益，我方愿在任何时候无条件承担相应的缔约过失责任和经济赔偿。</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我方在参与本次报价活动中，不曾以任何不正当的手段影响、串通、排斥有关当事人或谋取、施予非法利益，如有行为不当，愿独自承担此行为所造成的后果和法律责任。</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本承诺函效力及范围均涵盖整套报价文件和一切补充文件。</w:t>
      </w:r>
    </w:p>
    <w:p>
      <w:pPr>
        <w:spacing w:line="380" w:lineRule="exact"/>
        <w:rPr>
          <w:rFonts w:ascii="宋体" w:hAnsi="宋体"/>
          <w:color w:val="000000"/>
          <w:sz w:val="24"/>
          <w:szCs w:val="24"/>
        </w:rPr>
      </w:pPr>
    </w:p>
    <w:p>
      <w:pPr>
        <w:spacing w:line="380" w:lineRule="exact"/>
        <w:rPr>
          <w:rFonts w:ascii="宋体" w:hAnsi="宋体"/>
          <w:color w:val="000000"/>
          <w:sz w:val="24"/>
          <w:szCs w:val="24"/>
        </w:rPr>
      </w:pPr>
    </w:p>
    <w:p>
      <w:pPr>
        <w:spacing w:line="560" w:lineRule="exact"/>
        <w:rPr>
          <w:rFonts w:ascii="宋体" w:hAnsi="宋体"/>
          <w:color w:val="000000"/>
          <w:sz w:val="24"/>
          <w:u w:val="single"/>
          <w:lang w:val="en-GB"/>
        </w:rPr>
      </w:pPr>
      <w:r>
        <w:rPr>
          <w:rFonts w:hint="eastAsia" w:ascii="宋体" w:hAnsi="宋体"/>
          <w:color w:val="000000"/>
          <w:sz w:val="24"/>
          <w:lang w:val="en-GB"/>
        </w:rPr>
        <w:t>报价人名称（公章）：</w:t>
      </w:r>
      <w:r>
        <w:rPr>
          <w:rFonts w:hint="eastAsia" w:ascii="宋体" w:hAnsi="宋体"/>
          <w:color w:val="000000"/>
          <w:sz w:val="24"/>
          <w:u w:val="single"/>
          <w:lang w:val="en-GB"/>
        </w:rPr>
        <w:t xml:space="preserve">                                </w:t>
      </w:r>
    </w:p>
    <w:p>
      <w:pPr>
        <w:spacing w:line="560" w:lineRule="exact"/>
        <w:rPr>
          <w:rFonts w:ascii="宋体" w:hAnsi="宋体"/>
          <w:color w:val="000000"/>
          <w:sz w:val="24"/>
          <w:u w:val="single"/>
          <w:lang w:val="en-GB"/>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3780"/>
        </w:tabs>
        <w:spacing w:line="560" w:lineRule="exact"/>
        <w:rPr>
          <w:rFonts w:ascii="宋体" w:hAnsi="宋体"/>
          <w:color w:val="000000"/>
          <w:sz w:val="24"/>
          <w:u w:val="single"/>
        </w:rPr>
      </w:pPr>
      <w:r>
        <w:rPr>
          <w:rFonts w:hint="eastAsia" w:ascii="宋体" w:hAnsi="宋体"/>
          <w:color w:val="000000"/>
          <w:sz w:val="24"/>
        </w:rPr>
        <w:t>承诺日期：</w:t>
      </w:r>
      <w:r>
        <w:rPr>
          <w:rFonts w:hint="eastAsia" w:ascii="宋体" w:hAnsi="宋体"/>
          <w:color w:val="000000"/>
          <w:sz w:val="24"/>
          <w:u w:val="single"/>
        </w:rPr>
        <w:t xml:space="preserve">  　  年 　 月 </w:t>
      </w:r>
      <w:r>
        <w:rPr>
          <w:rFonts w:ascii="宋体" w:hAnsi="宋体"/>
          <w:color w:val="000000"/>
          <w:sz w:val="24"/>
          <w:u w:val="single"/>
        </w:rPr>
        <w:t xml:space="preserve"> </w:t>
      </w:r>
      <w:r>
        <w:rPr>
          <w:rFonts w:hint="eastAsia" w:ascii="宋体" w:hAnsi="宋体"/>
          <w:color w:val="000000"/>
          <w:sz w:val="24"/>
          <w:u w:val="single"/>
        </w:rPr>
        <w:t>　 日</w:t>
      </w:r>
    </w:p>
    <w:p>
      <w:pPr>
        <w:spacing w:line="560" w:lineRule="exact"/>
        <w:rPr>
          <w:rFonts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spacing w:line="380" w:lineRule="exact"/>
        <w:ind w:left="420" w:leftChars="200" w:right="363" w:rightChars="173"/>
        <w:rPr>
          <w:rFonts w:ascii="宋体" w:hAnsi="宋体"/>
          <w:color w:val="000000"/>
          <w:sz w:val="24"/>
          <w:szCs w:val="24"/>
        </w:rPr>
      </w:pPr>
    </w:p>
    <w:p>
      <w:pPr>
        <w:spacing w:line="380" w:lineRule="exact"/>
        <w:ind w:left="420" w:leftChars="200" w:right="363" w:rightChars="173"/>
        <w:rPr>
          <w:rFonts w:ascii="宋体" w:hAnsi="宋体"/>
          <w:color w:val="000000"/>
          <w:sz w:val="24"/>
          <w:szCs w:val="24"/>
          <w:lang w:val="en-GB"/>
        </w:rPr>
      </w:pPr>
    </w:p>
    <w:p>
      <w:pPr>
        <w:spacing w:line="380" w:lineRule="exact"/>
        <w:rPr>
          <w:b/>
          <w:color w:val="000000"/>
        </w:rPr>
      </w:pPr>
      <w:r>
        <w:rPr>
          <w:rFonts w:hint="eastAsia"/>
          <w:b/>
          <w:color w:val="000000"/>
          <w:lang w:val="en-GB"/>
        </w:rPr>
        <w:t>注：本承诺函内容不得擅自删改。</w:t>
      </w:r>
      <w:bookmarkStart w:id="22" w:name="_法人授权书"/>
      <w:bookmarkEnd w:id="22"/>
      <w:bookmarkStart w:id="23" w:name="_Toc49329266"/>
      <w:bookmarkStart w:id="24" w:name="_Toc25726413"/>
      <w:bookmarkStart w:id="25" w:name="_Toc159385076"/>
      <w:bookmarkStart w:id="26" w:name="_Toc119321152"/>
      <w:bookmarkStart w:id="27" w:name="_Toc29817726"/>
      <w:bookmarkStart w:id="28" w:name="_Toc37670364"/>
      <w:bookmarkStart w:id="29" w:name="_Toc136682917"/>
      <w:bookmarkStart w:id="30" w:name="_Toc136662941"/>
      <w:bookmarkStart w:id="31" w:name="_Toc26261460"/>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（二）法定代表人/负责人资格证明书</w:t>
      </w:r>
    </w:p>
    <w:p>
      <w:pPr>
        <w:spacing w:line="360" w:lineRule="auto"/>
        <w:jc w:val="center"/>
        <w:rPr>
          <w:rFonts w:ascii="宋体" w:hAnsi="宋体"/>
          <w:color w:val="000000"/>
          <w:sz w:val="24"/>
          <w:szCs w:val="24"/>
        </w:rPr>
      </w:pPr>
    </w:p>
    <w:p>
      <w:pPr>
        <w:spacing w:line="360" w:lineRule="auto"/>
        <w:jc w:val="center"/>
        <w:rPr>
          <w:rFonts w:ascii="宋体" w:hAnsi="宋体"/>
          <w:b/>
          <w:color w:val="000000"/>
          <w:sz w:val="24"/>
          <w:szCs w:val="24"/>
        </w:rPr>
      </w:pPr>
      <w:r>
        <w:rPr>
          <w:rFonts w:hint="eastAsia" w:ascii="宋体" w:hAnsi="宋体"/>
          <w:b/>
          <w:color w:val="000000"/>
          <w:sz w:val="24"/>
          <w:szCs w:val="24"/>
        </w:rPr>
        <w:t>法定代表人/负责人资格证明书</w:t>
      </w:r>
    </w:p>
    <w:p>
      <w:pPr>
        <w:pStyle w:val="24"/>
        <w:snapToGrid w:val="0"/>
        <w:spacing w:before="60" w:beforeLines="25" w:line="360" w:lineRule="auto"/>
        <w:rPr>
          <w:rFonts w:hAnsi="宋体"/>
          <w:snapToGrid w:val="0"/>
          <w:color w:val="000000"/>
          <w:sz w:val="24"/>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spacing w:line="480" w:lineRule="auto"/>
        <w:ind w:firstLine="600" w:firstLineChars="25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同志现任本单位</w:t>
      </w:r>
      <w:r>
        <w:rPr>
          <w:rFonts w:hint="eastAsia" w:ascii="宋体" w:hAnsi="宋体"/>
          <w:color w:val="000000"/>
          <w:sz w:val="24"/>
          <w:szCs w:val="24"/>
          <w:u w:val="single"/>
        </w:rPr>
        <w:t>　　　　　　</w:t>
      </w:r>
      <w:r>
        <w:rPr>
          <w:rFonts w:hint="eastAsia" w:ascii="宋体" w:hAnsi="宋体"/>
          <w:color w:val="000000"/>
          <w:sz w:val="24"/>
          <w:szCs w:val="24"/>
        </w:rPr>
        <w:t>职务，为法定代表/负责人，特此证明。</w:t>
      </w:r>
    </w:p>
    <w:p>
      <w:pPr>
        <w:spacing w:line="480" w:lineRule="auto"/>
        <w:rPr>
          <w:rFonts w:ascii="宋体" w:hAnsi="宋体"/>
          <w:color w:val="000000"/>
          <w:sz w:val="24"/>
          <w:szCs w:val="24"/>
          <w:u w:val="single"/>
        </w:rPr>
      </w:pPr>
      <w:r>
        <w:rPr>
          <w:rFonts w:hint="eastAsia" w:ascii="宋体" w:hAnsi="宋体"/>
          <w:color w:val="000000"/>
          <w:sz w:val="24"/>
          <w:szCs w:val="24"/>
        </w:rPr>
        <w:t>附：代表人性别：</w:t>
      </w:r>
      <w:r>
        <w:rPr>
          <w:rFonts w:hint="eastAsia" w:ascii="宋体" w:hAnsi="宋体"/>
          <w:color w:val="000000"/>
          <w:sz w:val="24"/>
          <w:szCs w:val="24"/>
          <w:u w:val="single"/>
        </w:rPr>
        <w:t>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480" w:lineRule="auto"/>
        <w:rPr>
          <w:rFonts w:ascii="宋体" w:hAnsi="宋体"/>
          <w:color w:val="000000"/>
          <w:sz w:val="24"/>
          <w:szCs w:val="24"/>
        </w:rPr>
      </w:pPr>
      <w:r>
        <w:rPr>
          <w:rFonts w:hint="eastAsia" w:ascii="宋体" w:hAnsi="宋体"/>
          <w:color w:val="000000"/>
          <w:sz w:val="24"/>
          <w:szCs w:val="24"/>
        </w:rPr>
        <w:t>统一社会信用代码：</w:t>
      </w:r>
      <w:r>
        <w:rPr>
          <w:rFonts w:hint="eastAsia" w:ascii="宋体" w:hAnsi="宋体"/>
          <w:color w:val="000000"/>
          <w:sz w:val="24"/>
          <w:szCs w:val="24"/>
          <w:u w:val="single"/>
        </w:rPr>
        <w:t xml:space="preserve">   　      　    　　</w:t>
      </w:r>
      <w:r>
        <w:rPr>
          <w:rFonts w:hint="eastAsia" w:ascii="宋体" w:hAnsi="宋体"/>
          <w:color w:val="000000"/>
          <w:sz w:val="24"/>
          <w:szCs w:val="24"/>
        </w:rPr>
        <w:t>，企业类型：</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rPr>
        <w:t>经营范围：</w:t>
      </w:r>
      <w:r>
        <w:rPr>
          <w:rFonts w:hint="eastAsia" w:ascii="宋体" w:hAnsi="宋体"/>
          <w:color w:val="000000"/>
          <w:sz w:val="24"/>
          <w:szCs w:val="24"/>
          <w:u w:val="single"/>
        </w:rPr>
        <w:t xml:space="preserve">                                                          </w:t>
      </w:r>
    </w:p>
    <w:p>
      <w:pPr>
        <w:spacing w:line="480" w:lineRule="auto"/>
        <w:rPr>
          <w:rFonts w:ascii="宋体" w:hAnsi="宋体"/>
          <w:color w:val="000000"/>
          <w:sz w:val="24"/>
          <w:szCs w:val="24"/>
          <w:u w:val="single"/>
        </w:rPr>
      </w:pP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p>
    <w:p>
      <w:pPr>
        <w:spacing w:line="640" w:lineRule="atLeast"/>
        <w:rPr>
          <w:rFonts w:ascii="宋体" w:hAnsi="宋体"/>
          <w:color w:val="000000"/>
          <w:sz w:val="24"/>
          <w:szCs w:val="24"/>
        </w:rPr>
      </w:pP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rPr>
      </w:pPr>
      <w:r>
        <w:rPr>
          <w:rFonts w:hint="eastAsia" w:ascii="宋体" w:hAnsi="宋体"/>
          <w:color w:val="000000"/>
          <w:sz w:val="24"/>
          <w:szCs w:val="24"/>
        </w:rPr>
        <w:t>法定代表/负责人（签字）：</w:t>
      </w:r>
      <w:r>
        <w:rPr>
          <w:rFonts w:hint="eastAsia" w:ascii="宋体" w:hAnsi="宋体"/>
          <w:color w:val="000000"/>
          <w:sz w:val="24"/>
          <w:szCs w:val="24"/>
          <w:u w:val="single"/>
        </w:rPr>
        <w:t xml:space="preserve">                      </w:t>
      </w:r>
    </w:p>
    <w:p>
      <w:pPr>
        <w:spacing w:line="640" w:lineRule="atLeast"/>
        <w:ind w:firstLine="900" w:firstLineChars="375"/>
        <w:rPr>
          <w:rFonts w:ascii="宋体" w:hAnsi="宋体"/>
          <w:color w:val="000000"/>
          <w:sz w:val="24"/>
          <w:szCs w:val="24"/>
          <w:u w:val="single"/>
        </w:rPr>
      </w:pPr>
      <w:r>
        <w:rPr>
          <w:rFonts w:hint="eastAsia" w:ascii="宋体" w:hAnsi="宋体"/>
          <w:color w:val="000000"/>
          <w:sz w:val="24"/>
          <w:szCs w:val="24"/>
        </w:rPr>
        <w:t>签发日期：</w:t>
      </w:r>
      <w:r>
        <w:rPr>
          <w:rFonts w:hint="eastAsia" w:ascii="宋体" w:hAnsi="宋体"/>
          <w:color w:val="000000"/>
          <w:sz w:val="24"/>
          <w:szCs w:val="24"/>
          <w:u w:val="single"/>
        </w:rPr>
        <w:t xml:space="preserve">                年    月    日</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spacing w:before="120" w:beforeLines="50" w:after="72" w:afterLines="30" w:line="360" w:lineRule="auto"/>
        <w:rPr>
          <w:rFonts w:ascii="宋体" w:hAnsi="宋体"/>
          <w:color w:val="000000"/>
        </w:rPr>
      </w:pPr>
      <w:r>
        <w:rPr>
          <w:rFonts w:hint="eastAsia" w:ascii="宋体" w:hAnsi="宋体"/>
          <w:color w:val="000000"/>
        </w:rPr>
        <w:t>须附：法定代表/负责人有效期内身份证复印件</w:t>
      </w:r>
    </w:p>
    <w:tbl>
      <w:tblPr>
        <w:tblStyle w:val="3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288"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spacing w:line="360" w:lineRule="auto"/>
        <w:rPr>
          <w:rFonts w:ascii="宋体" w:hAnsi="宋体"/>
          <w:b/>
          <w:bCs/>
          <w:color w:val="000000"/>
          <w:sz w:val="28"/>
          <w:szCs w:val="28"/>
          <w:lang w:val="en-GB"/>
        </w:rPr>
      </w:pPr>
      <w:r>
        <w:rPr>
          <w:rFonts w:ascii="黑体" w:hAnsi="黑体" w:eastAsia="黑体"/>
          <w:b/>
          <w:color w:val="000000"/>
          <w:szCs w:val="30"/>
        </w:rPr>
        <w:br w:type="page"/>
      </w:r>
      <w:r>
        <w:rPr>
          <w:rFonts w:hint="eastAsia"/>
          <w:b/>
          <w:color w:val="000000"/>
          <w:sz w:val="24"/>
          <w:szCs w:val="24"/>
        </w:rPr>
        <w:t>（三）法定代表人/负责人授权委托书</w:t>
      </w:r>
      <w:bookmarkEnd w:id="23"/>
      <w:bookmarkEnd w:id="24"/>
      <w:bookmarkEnd w:id="25"/>
      <w:bookmarkEnd w:id="26"/>
      <w:bookmarkEnd w:id="27"/>
      <w:bookmarkEnd w:id="28"/>
      <w:bookmarkEnd w:id="29"/>
      <w:bookmarkEnd w:id="30"/>
      <w:bookmarkEnd w:id="31"/>
    </w:p>
    <w:p>
      <w:pPr>
        <w:ind w:left="422" w:hanging="422" w:hangingChars="150"/>
        <w:rPr>
          <w:rFonts w:ascii="宋体" w:hAnsi="宋体"/>
          <w:b/>
          <w:bCs/>
          <w:color w:val="000000"/>
          <w:sz w:val="28"/>
          <w:szCs w:val="28"/>
          <w:lang w:val="en-GB"/>
        </w:rPr>
      </w:pPr>
    </w:p>
    <w:p>
      <w:pPr>
        <w:ind w:left="361" w:hanging="361" w:hangingChars="150"/>
        <w:jc w:val="center"/>
        <w:rPr>
          <w:rFonts w:ascii="宋体" w:hAnsi="宋体"/>
          <w:b/>
          <w:bCs/>
          <w:color w:val="000000"/>
          <w:sz w:val="28"/>
          <w:szCs w:val="28"/>
          <w:lang w:val="en-GB"/>
        </w:rPr>
      </w:pPr>
      <w:r>
        <w:rPr>
          <w:rFonts w:hint="eastAsia"/>
          <w:b/>
          <w:color w:val="000000"/>
          <w:sz w:val="24"/>
          <w:szCs w:val="24"/>
        </w:rPr>
        <w:t>法定代表人/负责人授权委托书</w:t>
      </w:r>
    </w:p>
    <w:p>
      <w:pPr>
        <w:ind w:left="422" w:hanging="422" w:hangingChars="150"/>
        <w:rPr>
          <w:rFonts w:ascii="宋体" w:hAnsi="宋体"/>
          <w:b/>
          <w:bCs/>
          <w:color w:val="000000"/>
          <w:sz w:val="28"/>
          <w:szCs w:val="28"/>
          <w:lang w:val="en-GB"/>
        </w:rPr>
      </w:pPr>
    </w:p>
    <w:p>
      <w:pPr>
        <w:pStyle w:val="24"/>
        <w:snapToGrid w:val="0"/>
        <w:spacing w:before="60" w:beforeLines="25" w:line="360" w:lineRule="auto"/>
        <w:rPr>
          <w:rFonts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pStyle w:val="24"/>
        <w:snapToGrid w:val="0"/>
        <w:spacing w:before="60" w:beforeLines="25" w:line="360" w:lineRule="auto"/>
        <w:ind w:firstLine="480" w:firstLineChars="200"/>
        <w:rPr>
          <w:rFonts w:hAnsi="宋体"/>
          <w:snapToGrid w:val="0"/>
          <w:color w:val="000000"/>
          <w:sz w:val="24"/>
        </w:rPr>
      </w:pPr>
      <w:r>
        <w:rPr>
          <w:rFonts w:hint="eastAsia" w:hAnsi="宋体"/>
          <w:snapToGrid w:val="0"/>
          <w:color w:val="000000"/>
          <w:sz w:val="24"/>
        </w:rPr>
        <w:t>本授权委托书声明：</w:t>
      </w:r>
      <w:r>
        <w:rPr>
          <w:rFonts w:hint="eastAsia" w:hAnsi="宋体"/>
          <w:snapToGrid w:val="0"/>
          <w:color w:val="000000"/>
          <w:sz w:val="24"/>
          <w:u w:val="single"/>
        </w:rPr>
        <w:t xml:space="preserve">       </w:t>
      </w:r>
      <w:r>
        <w:rPr>
          <w:rFonts w:hint="eastAsia" w:hAnsi="宋体"/>
          <w:snapToGrid w:val="0"/>
          <w:color w:val="000000"/>
          <w:sz w:val="24"/>
        </w:rPr>
        <w:t>是注册于</w:t>
      </w:r>
      <w:r>
        <w:rPr>
          <w:rFonts w:hint="eastAsia" w:hAnsi="宋体"/>
          <w:snapToGrid w:val="0"/>
          <w:color w:val="000000"/>
          <w:sz w:val="24"/>
          <w:u w:val="single"/>
        </w:rPr>
        <w:t xml:space="preserve"> </w:t>
      </w:r>
      <w:r>
        <w:rPr>
          <w:rFonts w:hint="eastAsia" w:hAnsi="宋体"/>
          <w:b/>
          <w:i/>
          <w:snapToGrid w:val="0"/>
          <w:color w:val="000000"/>
          <w:sz w:val="24"/>
          <w:u w:val="single"/>
        </w:rPr>
        <w:t>（国家或地区）</w:t>
      </w:r>
      <w:r>
        <w:rPr>
          <w:rFonts w:hint="eastAsia" w:hAnsi="宋体"/>
          <w:i/>
          <w:snapToGrid w:val="0"/>
          <w:color w:val="000000"/>
          <w:sz w:val="24"/>
          <w:u w:val="single"/>
        </w:rPr>
        <w:t xml:space="preserve">  </w:t>
      </w:r>
      <w:r>
        <w:rPr>
          <w:rFonts w:hint="eastAsia" w:hAnsi="宋体"/>
          <w:snapToGrid w:val="0"/>
          <w:color w:val="000000"/>
          <w:sz w:val="24"/>
        </w:rPr>
        <w:t>的</w:t>
      </w:r>
      <w:r>
        <w:rPr>
          <w:rFonts w:hint="eastAsia" w:hAnsi="宋体"/>
          <w:snapToGrid w:val="0"/>
          <w:color w:val="000000"/>
          <w:sz w:val="24"/>
          <w:u w:val="single"/>
        </w:rPr>
        <w:t xml:space="preserve"> </w:t>
      </w:r>
      <w:r>
        <w:rPr>
          <w:rFonts w:hint="eastAsia" w:hAnsi="宋体"/>
          <w:b/>
          <w:i/>
          <w:snapToGrid w:val="0"/>
          <w:color w:val="000000"/>
          <w:sz w:val="24"/>
          <w:u w:val="single"/>
        </w:rPr>
        <w:t>（报价人名称）</w:t>
      </w:r>
      <w:r>
        <w:rPr>
          <w:rFonts w:hint="eastAsia" w:hAnsi="宋体"/>
          <w:i/>
          <w:snapToGrid w:val="0"/>
          <w:color w:val="000000"/>
          <w:sz w:val="24"/>
          <w:u w:val="single"/>
        </w:rPr>
        <w:t xml:space="preserve">     </w:t>
      </w:r>
      <w:r>
        <w:rPr>
          <w:rFonts w:hint="eastAsia" w:hAnsi="宋体"/>
          <w:snapToGrid w:val="0"/>
          <w:color w:val="000000"/>
          <w:sz w:val="24"/>
        </w:rPr>
        <w:t>的法定代表</w:t>
      </w:r>
      <w:r>
        <w:rPr>
          <w:rFonts w:hint="eastAsia" w:hAnsi="宋体"/>
          <w:color w:val="000000"/>
          <w:sz w:val="24"/>
        </w:rPr>
        <w:t>/负责</w:t>
      </w:r>
      <w:r>
        <w:rPr>
          <w:rFonts w:hint="eastAsia" w:hAnsi="宋体"/>
          <w:snapToGrid w:val="0"/>
          <w:color w:val="000000"/>
          <w:sz w:val="24"/>
        </w:rPr>
        <w:t>人，现任</w:t>
      </w:r>
      <w:r>
        <w:rPr>
          <w:rFonts w:hint="eastAsia" w:hAnsi="宋体"/>
          <w:snapToGrid w:val="0"/>
          <w:color w:val="000000"/>
          <w:sz w:val="24"/>
          <w:u w:val="single"/>
        </w:rPr>
        <w:t xml:space="preserve">              </w:t>
      </w:r>
      <w:r>
        <w:rPr>
          <w:rFonts w:hint="eastAsia" w:hAnsi="宋体"/>
          <w:snapToGrid w:val="0"/>
          <w:color w:val="000000"/>
          <w:sz w:val="24"/>
        </w:rPr>
        <w:t>职务，有效证件号码：</w:t>
      </w:r>
      <w:r>
        <w:rPr>
          <w:rFonts w:hint="eastAsia" w:hAnsi="宋体"/>
          <w:snapToGrid w:val="0"/>
          <w:color w:val="000000"/>
          <w:sz w:val="24"/>
          <w:u w:val="single"/>
        </w:rPr>
        <w:t xml:space="preserve">                   </w:t>
      </w:r>
      <w:r>
        <w:rPr>
          <w:rFonts w:hint="eastAsia" w:hAnsi="宋体"/>
          <w:snapToGrid w:val="0"/>
          <w:color w:val="000000"/>
          <w:sz w:val="24"/>
        </w:rPr>
        <w:t>。现授权</w:t>
      </w:r>
      <w:r>
        <w:rPr>
          <w:rFonts w:hint="eastAsia" w:hAnsi="宋体"/>
          <w:snapToGrid w:val="0"/>
          <w:color w:val="000000"/>
          <w:sz w:val="24"/>
          <w:u w:val="single"/>
        </w:rPr>
        <w:t xml:space="preserve">  </w:t>
      </w:r>
      <w:r>
        <w:rPr>
          <w:rFonts w:hint="eastAsia" w:hAnsi="宋体"/>
          <w:b/>
          <w:i/>
          <w:snapToGrid w:val="0"/>
          <w:color w:val="000000"/>
          <w:sz w:val="24"/>
          <w:u w:val="single"/>
        </w:rPr>
        <w:t>（姓名、职务）</w:t>
      </w:r>
      <w:r>
        <w:rPr>
          <w:rFonts w:hint="eastAsia" w:hAnsi="宋体"/>
          <w:i/>
          <w:snapToGrid w:val="0"/>
          <w:color w:val="000000"/>
          <w:sz w:val="24"/>
          <w:u w:val="single"/>
        </w:rPr>
        <w:t xml:space="preserve">   </w:t>
      </w:r>
      <w:r>
        <w:rPr>
          <w:rFonts w:hint="eastAsia" w:hAnsi="宋体"/>
          <w:snapToGrid w:val="0"/>
          <w:color w:val="000000"/>
          <w:sz w:val="24"/>
        </w:rPr>
        <w:t>作为我方的全权代理人，就</w:t>
      </w:r>
      <w:r>
        <w:rPr>
          <w:rFonts w:hint="eastAsia" w:hAnsi="宋体"/>
          <w:color w:val="000000"/>
          <w:sz w:val="24"/>
        </w:rPr>
        <w:t>采购项目（</w:t>
      </w:r>
      <w:r>
        <w:rPr>
          <w:rFonts w:hint="eastAsia" w:hAnsi="宋体"/>
          <w:color w:val="000000"/>
          <w:sz w:val="24"/>
          <w:u w:val="single"/>
        </w:rPr>
        <w:t>采购项目名称：台山市人民法院2023年辅助送达服务采购项目，采购项目编号：</w:t>
      </w:r>
      <w:r>
        <w:rPr>
          <w:rFonts w:hAnsi="宋体"/>
          <w:color w:val="000000"/>
          <w:sz w:val="24"/>
          <w:u w:val="single"/>
        </w:rPr>
        <w:t>TSFY-202</w:t>
      </w:r>
      <w:r>
        <w:rPr>
          <w:rFonts w:hint="eastAsia" w:hAnsi="宋体"/>
          <w:color w:val="000000"/>
          <w:sz w:val="24"/>
          <w:u w:val="single"/>
        </w:rPr>
        <w:t>3</w:t>
      </w:r>
      <w:r>
        <w:rPr>
          <w:rFonts w:hAnsi="宋体"/>
          <w:color w:val="000000"/>
          <w:sz w:val="24"/>
          <w:u w:val="single"/>
        </w:rPr>
        <w:t>00</w:t>
      </w:r>
      <w:r>
        <w:rPr>
          <w:rFonts w:hint="eastAsia" w:hAnsi="宋体"/>
          <w:color w:val="000000"/>
          <w:sz w:val="24"/>
          <w:u w:val="single"/>
        </w:rPr>
        <w:t>4</w:t>
      </w:r>
      <w:r>
        <w:rPr>
          <w:rFonts w:hint="eastAsia" w:hAnsi="宋体"/>
          <w:color w:val="000000"/>
          <w:sz w:val="24"/>
        </w:rPr>
        <w:t>）</w:t>
      </w:r>
      <w:r>
        <w:rPr>
          <w:rFonts w:hint="eastAsia" w:hAnsi="宋体"/>
          <w:snapToGrid w:val="0"/>
          <w:color w:val="000000"/>
          <w:sz w:val="24"/>
        </w:rPr>
        <w:t>的报价和合同执行，以我方的名义处理一切与之有关的事务。</w:t>
      </w:r>
    </w:p>
    <w:p>
      <w:pPr>
        <w:snapToGrid w:val="0"/>
        <w:spacing w:before="60" w:beforeLines="25"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本授权委托书于</w:t>
      </w:r>
      <w:r>
        <w:rPr>
          <w:rFonts w:hint="eastAsia" w:ascii="宋体" w:hAnsi="宋体"/>
          <w:snapToGrid w:val="0"/>
          <w:color w:val="000000"/>
          <w:kern w:val="0"/>
          <w:sz w:val="24"/>
          <w:szCs w:val="24"/>
          <w:u w:val="single"/>
        </w:rPr>
        <w:t xml:space="preserve">       年    月    日</w:t>
      </w:r>
      <w:r>
        <w:rPr>
          <w:rFonts w:hint="eastAsia" w:ascii="宋体" w:hAnsi="宋体"/>
          <w:snapToGrid w:val="0"/>
          <w:color w:val="000000"/>
          <w:kern w:val="0"/>
          <w:sz w:val="24"/>
          <w:szCs w:val="24"/>
        </w:rPr>
        <w:t>签字生效，特此声明。</w:t>
      </w:r>
    </w:p>
    <w:p>
      <w:pPr>
        <w:snapToGrid w:val="0"/>
        <w:spacing w:before="60" w:beforeLines="25" w:line="360" w:lineRule="auto"/>
        <w:rPr>
          <w:rFonts w:ascii="宋体" w:hAnsi="宋体"/>
          <w:snapToGrid w:val="0"/>
          <w:color w:val="000000"/>
          <w:kern w:val="0"/>
          <w:sz w:val="24"/>
          <w:szCs w:val="24"/>
        </w:rPr>
      </w:pPr>
    </w:p>
    <w:p>
      <w:pPr>
        <w:snapToGrid w:val="0"/>
        <w:spacing w:before="60" w:beforeLines="25" w:line="360" w:lineRule="auto"/>
        <w:rPr>
          <w:rFonts w:ascii="宋体" w:hAnsi="宋体"/>
          <w:snapToGrid w:val="0"/>
          <w:color w:val="000000"/>
          <w:kern w:val="0"/>
          <w:sz w:val="24"/>
          <w:szCs w:val="24"/>
        </w:rPr>
      </w:pP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报价人名称（公章）：</w:t>
      </w:r>
      <w:r>
        <w:rPr>
          <w:rFonts w:hint="eastAsia" w:ascii="宋体" w:hAnsi="宋体"/>
          <w:snapToGrid w:val="0"/>
          <w:color w:val="000000"/>
          <w:kern w:val="0"/>
          <w:sz w:val="24"/>
          <w:szCs w:val="24"/>
          <w:u w:val="single"/>
        </w:rPr>
        <w:t xml:space="preserve">                      </w:t>
      </w:r>
    </w:p>
    <w:p>
      <w:pPr>
        <w:tabs>
          <w:tab w:val="left" w:pos="3780"/>
        </w:tabs>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法定代表</w:t>
      </w:r>
      <w:r>
        <w:rPr>
          <w:rFonts w:hint="eastAsia" w:ascii="宋体" w:hAnsi="宋体"/>
          <w:color w:val="000000"/>
          <w:sz w:val="24"/>
          <w:szCs w:val="24"/>
        </w:rPr>
        <w:t>/负责</w:t>
      </w:r>
      <w:r>
        <w:rPr>
          <w:rFonts w:hint="eastAsia" w:ascii="宋体" w:hAnsi="宋体"/>
          <w:snapToGrid w:val="0"/>
          <w:color w:val="000000"/>
          <w:kern w:val="0"/>
          <w:sz w:val="24"/>
          <w:szCs w:val="24"/>
        </w:rPr>
        <w:t>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snapToGrid w:val="0"/>
          <w:color w:val="000000"/>
          <w:kern w:val="0"/>
          <w:sz w:val="24"/>
          <w:szCs w:val="24"/>
        </w:rPr>
      </w:pPr>
      <w:r>
        <w:rPr>
          <w:rFonts w:hint="eastAsia" w:ascii="宋体" w:hAnsi="宋体"/>
          <w:snapToGrid w:val="0"/>
          <w:color w:val="000000"/>
          <w:kern w:val="0"/>
          <w:sz w:val="24"/>
          <w:szCs w:val="24"/>
        </w:rPr>
        <w:t>被授权人（签字）：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ascii="宋体" w:hAnsi="宋体"/>
          <w:color w:val="000000"/>
          <w:sz w:val="24"/>
          <w:szCs w:val="24"/>
          <w:u w:val="single"/>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spacing w:line="400" w:lineRule="exact"/>
        <w:rPr>
          <w:rFonts w:ascii="宋体" w:hAnsi="宋体"/>
          <w:color w:val="000000"/>
          <w:sz w:val="24"/>
          <w:szCs w:val="24"/>
          <w:lang w:val="en-GB"/>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黑体" w:hAnsi="黑体" w:eastAsia="黑体"/>
          <w:color w:val="000000"/>
        </w:rPr>
      </w:pPr>
    </w:p>
    <w:p>
      <w:pPr>
        <w:spacing w:after="120" w:afterLines="50" w:line="360" w:lineRule="auto"/>
        <w:rPr>
          <w:rFonts w:ascii="宋体" w:hAnsi="宋体"/>
          <w:color w:val="000000"/>
        </w:rPr>
      </w:pPr>
      <w:r>
        <w:rPr>
          <w:rFonts w:hint="eastAsia" w:ascii="宋体" w:hAnsi="宋体"/>
          <w:color w:val="000000"/>
        </w:rPr>
        <w:t>须附：被授权人有效期内身份证复印件</w:t>
      </w:r>
    </w:p>
    <w:tbl>
      <w:tblPr>
        <w:tblStyle w:val="3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正面</w:t>
            </w:r>
          </w:p>
        </w:tc>
        <w:tc>
          <w:tcPr>
            <w:tcW w:w="2500" w:type="pct"/>
            <w:tcBorders>
              <w:top w:val="dashed" w:color="auto" w:sz="4" w:space="0"/>
              <w:left w:val="dashed" w:color="auto" w:sz="4" w:space="0"/>
              <w:bottom w:val="dashed" w:color="auto" w:sz="4" w:space="0"/>
              <w:right w:val="dashed" w:color="auto" w:sz="4" w:space="0"/>
            </w:tcBorders>
            <w:vAlign w:val="center"/>
          </w:tcPr>
          <w:p>
            <w:pPr>
              <w:pStyle w:val="82"/>
              <w:spacing w:line="460" w:lineRule="exact"/>
              <w:ind w:firstLine="0" w:firstLineChars="0"/>
              <w:jc w:val="center"/>
              <w:rPr>
                <w:rFonts w:ascii="黑体" w:hAnsi="黑体" w:eastAsia="黑体"/>
                <w:color w:val="000000"/>
                <w:kern w:val="2"/>
                <w:sz w:val="22"/>
                <w:szCs w:val="22"/>
                <w:lang w:val="en-US"/>
              </w:rPr>
            </w:pPr>
            <w:r>
              <w:rPr>
                <w:rFonts w:hint="eastAsia" w:ascii="黑体" w:hAnsi="黑体" w:eastAsia="黑体"/>
                <w:color w:val="000000"/>
                <w:sz w:val="22"/>
                <w:szCs w:val="22"/>
                <w:lang w:val="en-US"/>
              </w:rPr>
              <w:t>背面</w:t>
            </w:r>
          </w:p>
        </w:tc>
      </w:tr>
    </w:tbl>
    <w:p>
      <w:pPr>
        <w:tabs>
          <w:tab w:val="left" w:pos="7740"/>
        </w:tabs>
        <w:adjustRightInd w:val="0"/>
        <w:snapToGrid w:val="0"/>
        <w:spacing w:line="360" w:lineRule="auto"/>
        <w:rPr>
          <w:b/>
          <w:color w:val="000000"/>
          <w:sz w:val="24"/>
          <w:szCs w:val="24"/>
        </w:rPr>
      </w:pPr>
      <w:r>
        <w:rPr>
          <w:color w:val="000000"/>
          <w:lang w:val="en-GB"/>
        </w:rPr>
        <w:br w:type="page"/>
      </w:r>
      <w:bookmarkStart w:id="32" w:name="_第二部分__技术与商务部分_1"/>
      <w:bookmarkEnd w:id="32"/>
      <w:bookmarkStart w:id="33" w:name="_企业综合概况"/>
      <w:bookmarkEnd w:id="33"/>
      <w:bookmarkStart w:id="34" w:name="_企业综合概况与计划"/>
      <w:bookmarkEnd w:id="34"/>
      <w:bookmarkStart w:id="35" w:name="_第二章__商务部分"/>
      <w:bookmarkEnd w:id="35"/>
      <w:bookmarkStart w:id="36" w:name="_投标报价汇总表"/>
      <w:bookmarkEnd w:id="36"/>
      <w:bookmarkStart w:id="37" w:name="_第二章__技术与商务部分"/>
      <w:bookmarkEnd w:id="37"/>
      <w:bookmarkStart w:id="38" w:name="_商务条款响应表_2"/>
      <w:bookmarkEnd w:id="38"/>
      <w:bookmarkStart w:id="39" w:name="_第二部分__技术与商务部分"/>
      <w:bookmarkEnd w:id="39"/>
      <w:bookmarkStart w:id="40" w:name="_Toc37670366"/>
      <w:bookmarkStart w:id="41" w:name="_Toc34980753"/>
      <w:bookmarkStart w:id="42" w:name="_Toc49329268"/>
      <w:r>
        <w:rPr>
          <w:rFonts w:hint="eastAsia"/>
          <w:b/>
          <w:color w:val="000000"/>
          <w:sz w:val="24"/>
          <w:szCs w:val="24"/>
        </w:rPr>
        <w:t>（四）</w:t>
      </w:r>
      <w:r>
        <w:rPr>
          <w:rFonts w:hint="eastAsia" w:ascii="宋体" w:hAnsi="宋体"/>
          <w:b/>
          <w:color w:val="000000"/>
          <w:sz w:val="24"/>
        </w:rPr>
        <w:t>无重大违法记录的声明</w:t>
      </w:r>
    </w:p>
    <w:p>
      <w:pPr>
        <w:tabs>
          <w:tab w:val="left" w:pos="7740"/>
        </w:tabs>
        <w:adjustRightInd w:val="0"/>
        <w:snapToGrid w:val="0"/>
        <w:spacing w:line="360" w:lineRule="auto"/>
        <w:rPr>
          <w:b/>
          <w:color w:val="000000"/>
          <w:sz w:val="24"/>
          <w:szCs w:val="24"/>
        </w:rPr>
      </w:pPr>
    </w:p>
    <w:p>
      <w:pPr>
        <w:tabs>
          <w:tab w:val="left" w:pos="7740"/>
        </w:tabs>
        <w:adjustRightInd w:val="0"/>
        <w:snapToGrid w:val="0"/>
        <w:spacing w:line="360" w:lineRule="auto"/>
        <w:jc w:val="center"/>
        <w:rPr>
          <w:rFonts w:ascii="宋体" w:hAnsi="宋体"/>
          <w:b/>
          <w:color w:val="000000"/>
          <w:sz w:val="24"/>
        </w:rPr>
      </w:pPr>
      <w:r>
        <w:rPr>
          <w:rFonts w:hint="eastAsia"/>
          <w:b/>
          <w:color w:val="000000"/>
          <w:sz w:val="24"/>
          <w:szCs w:val="24"/>
        </w:rPr>
        <w:t>无重大违法记录的声明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致：台山市人民法院</w:t>
      </w:r>
    </w:p>
    <w:p>
      <w:pPr>
        <w:spacing w:line="360" w:lineRule="auto"/>
        <w:ind w:firstLine="470" w:firstLineChars="196"/>
        <w:rPr>
          <w:rFonts w:ascii="宋体" w:hAnsi="宋体"/>
          <w:color w:val="000000"/>
          <w:sz w:val="24"/>
        </w:rPr>
      </w:pPr>
      <w:r>
        <w:rPr>
          <w:rFonts w:hint="eastAsia" w:ascii="宋体" w:hAnsi="宋体"/>
          <w:color w:val="000000"/>
          <w:sz w:val="24"/>
        </w:rPr>
        <w:t>关于贵方的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rPr>
        <w:t>台山市人民法院2023年辅助送达服务采购项目，采购</w:t>
      </w:r>
      <w:r>
        <w:rPr>
          <w:rFonts w:hint="eastAsia" w:ascii="宋体" w:hAnsi="宋体"/>
          <w:color w:val="000000"/>
          <w:sz w:val="24"/>
          <w:u w:val="single"/>
        </w:rPr>
        <w:t>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4</w:t>
      </w:r>
      <w:r>
        <w:rPr>
          <w:rFonts w:hint="eastAsia" w:ascii="宋体" w:hAnsi="宋体"/>
          <w:color w:val="000000"/>
          <w:sz w:val="24"/>
          <w:szCs w:val="24"/>
        </w:rPr>
        <w:t>）</w:t>
      </w:r>
      <w:r>
        <w:rPr>
          <w:rFonts w:hint="eastAsia" w:ascii="宋体" w:hAnsi="宋体"/>
          <w:color w:val="000000"/>
          <w:sz w:val="24"/>
        </w:rPr>
        <w:t>，我方愿意参加报价，并声明如下：</w:t>
      </w:r>
    </w:p>
    <w:p>
      <w:pPr>
        <w:spacing w:line="360" w:lineRule="auto"/>
        <w:ind w:firstLine="470" w:firstLineChars="196"/>
        <w:rPr>
          <w:rFonts w:ascii="宋体" w:hAnsi="宋体"/>
          <w:color w:val="000000"/>
          <w:sz w:val="24"/>
        </w:rPr>
      </w:pPr>
      <w:r>
        <w:rPr>
          <w:rFonts w:hint="eastAsia" w:ascii="宋体" w:hAnsi="宋体"/>
          <w:color w:val="000000"/>
          <w:sz w:val="24"/>
        </w:rPr>
        <w:t>我方参加本项目报价前三年内在经营活动中没有受到刑事处罚或者责令停产停业、吊销许可证或者执照、较大数额罚款等行政处罚，参加本项目报价时也没有因违法经营被禁止参加政府采购活动并处于有效处罚期内。</w:t>
      </w:r>
    </w:p>
    <w:p>
      <w:pPr>
        <w:spacing w:line="360" w:lineRule="auto"/>
        <w:ind w:firstLine="470" w:firstLineChars="196"/>
        <w:rPr>
          <w:rFonts w:ascii="宋体" w:hAnsi="宋体"/>
          <w:b/>
          <w:color w:val="000000"/>
          <w:sz w:val="24"/>
        </w:rPr>
      </w:pPr>
      <w:r>
        <w:rPr>
          <w:rFonts w:hint="eastAsia" w:ascii="宋体" w:hAnsi="宋体"/>
          <w:color w:val="000000"/>
          <w:sz w:val="24"/>
        </w:rPr>
        <w:t>特此声明。以上声明内容如有虚假，我方愿承担相应法律责任。</w:t>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7740"/>
        </w:tabs>
        <w:adjustRightInd w:val="0"/>
        <w:snapToGrid w:val="0"/>
        <w:spacing w:line="360" w:lineRule="auto"/>
        <w:rPr>
          <w:rFonts w:ascii="宋体" w:hAnsi="宋体"/>
          <w:color w:val="000000"/>
          <w:sz w:val="24"/>
          <w:u w:val="single"/>
        </w:rPr>
      </w:pPr>
    </w:p>
    <w:p>
      <w:pPr>
        <w:tabs>
          <w:tab w:val="left" w:pos="7740"/>
        </w:tabs>
        <w:adjustRightInd w:val="0"/>
        <w:snapToGrid w:val="0"/>
        <w:spacing w:line="360" w:lineRule="auto"/>
        <w:rPr>
          <w:b/>
          <w:color w:val="000000"/>
          <w:sz w:val="24"/>
          <w:szCs w:val="24"/>
        </w:rPr>
      </w:pPr>
      <w:r>
        <w:rPr>
          <w:rFonts w:ascii="宋体" w:hAnsi="宋体"/>
          <w:color w:val="000000"/>
          <w:sz w:val="24"/>
          <w:u w:val="single"/>
        </w:rPr>
        <w:br w:type="page"/>
      </w:r>
      <w:r>
        <w:rPr>
          <w:rFonts w:hint="eastAsia"/>
          <w:b/>
          <w:color w:val="000000"/>
          <w:sz w:val="24"/>
          <w:szCs w:val="24"/>
        </w:rPr>
        <w:t>（五）</w:t>
      </w:r>
      <w:r>
        <w:rPr>
          <w:b/>
          <w:color w:val="000000"/>
          <w:sz w:val="24"/>
          <w:szCs w:val="24"/>
        </w:rPr>
        <w:t>非联合体声明</w:t>
      </w:r>
    </w:p>
    <w:p>
      <w:pPr>
        <w:spacing w:line="360" w:lineRule="auto"/>
        <w:ind w:firstLine="472" w:firstLineChars="196"/>
        <w:jc w:val="center"/>
        <w:rPr>
          <w:b/>
          <w:color w:val="000000"/>
          <w:sz w:val="24"/>
          <w:szCs w:val="24"/>
        </w:rPr>
      </w:pPr>
    </w:p>
    <w:p>
      <w:pPr>
        <w:spacing w:line="360" w:lineRule="auto"/>
        <w:ind w:firstLine="472" w:firstLineChars="196"/>
        <w:jc w:val="center"/>
        <w:rPr>
          <w:rFonts w:ascii="宋体" w:hAnsi="宋体"/>
          <w:color w:val="000000"/>
          <w:sz w:val="24"/>
        </w:rPr>
      </w:pPr>
      <w:r>
        <w:rPr>
          <w:b/>
          <w:color w:val="000000"/>
          <w:sz w:val="24"/>
          <w:szCs w:val="24"/>
        </w:rPr>
        <w:t>非联合体声明</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w:t>
      </w:r>
      <w:r>
        <w:rPr>
          <w:rFonts w:hint="eastAsia" w:ascii="宋体" w:hAnsi="宋体"/>
          <w:b/>
          <w:color w:val="000000"/>
          <w:sz w:val="24"/>
          <w:u w:val="single"/>
        </w:rPr>
        <w:t>台山市人民法院</w:t>
      </w:r>
    </w:p>
    <w:p>
      <w:pPr>
        <w:spacing w:line="360" w:lineRule="auto"/>
        <w:ind w:firstLine="470" w:firstLineChars="196"/>
        <w:rPr>
          <w:rFonts w:ascii="宋体" w:hAnsi="宋体"/>
          <w:color w:val="000000"/>
          <w:sz w:val="24"/>
        </w:rPr>
      </w:pPr>
      <w:r>
        <w:rPr>
          <w:rFonts w:hint="eastAsia" w:ascii="宋体" w:hAnsi="宋体"/>
          <w:color w:val="000000"/>
          <w:sz w:val="24"/>
        </w:rPr>
        <w:t>我方作为贵方组织的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szCs w:val="24"/>
          <w:u w:val="single"/>
        </w:rPr>
        <w:t>台山市人民法院2023年辅助送达服务采购项目，采购</w:t>
      </w:r>
      <w:r>
        <w:rPr>
          <w:rFonts w:hint="eastAsia" w:ascii="宋体" w:hAnsi="宋体"/>
          <w:color w:val="000000"/>
          <w:sz w:val="24"/>
          <w:u w:val="single"/>
        </w:rPr>
        <w:t>项目编号：</w:t>
      </w:r>
      <w:r>
        <w:rPr>
          <w:rFonts w:ascii="宋体" w:hAnsi="宋体"/>
          <w:color w:val="000000"/>
          <w:sz w:val="24"/>
          <w:szCs w:val="24"/>
          <w:u w:val="single"/>
        </w:rPr>
        <w:t>TSFY-202</w:t>
      </w:r>
      <w:r>
        <w:rPr>
          <w:rFonts w:hint="eastAsia" w:ascii="宋体" w:hAnsi="宋体"/>
          <w:color w:val="000000"/>
          <w:sz w:val="24"/>
          <w:szCs w:val="24"/>
          <w:u w:val="single"/>
        </w:rPr>
        <w:t>3</w:t>
      </w:r>
      <w:r>
        <w:rPr>
          <w:rFonts w:ascii="宋体" w:hAnsi="宋体"/>
          <w:color w:val="000000"/>
          <w:sz w:val="24"/>
          <w:szCs w:val="24"/>
          <w:u w:val="single"/>
        </w:rPr>
        <w:t>00</w:t>
      </w:r>
      <w:r>
        <w:rPr>
          <w:rFonts w:hint="eastAsia" w:ascii="宋体" w:hAnsi="宋体"/>
          <w:color w:val="000000"/>
          <w:sz w:val="24"/>
          <w:szCs w:val="24"/>
          <w:u w:val="single"/>
        </w:rPr>
        <w:t>4</w:t>
      </w:r>
      <w:r>
        <w:rPr>
          <w:rFonts w:hint="eastAsia" w:ascii="宋体" w:hAnsi="宋体"/>
          <w:color w:val="000000"/>
          <w:sz w:val="24"/>
          <w:szCs w:val="24"/>
        </w:rPr>
        <w:t>）的报价人，根据采购文件的要求，现</w:t>
      </w:r>
      <w:r>
        <w:rPr>
          <w:rFonts w:ascii="宋体" w:hAnsi="宋体"/>
          <w:color w:val="000000"/>
          <w:sz w:val="24"/>
        </w:rPr>
        <w:t>郑重声明如下:</w:t>
      </w:r>
    </w:p>
    <w:p>
      <w:pPr>
        <w:spacing w:line="360" w:lineRule="auto"/>
        <w:ind w:firstLine="470" w:firstLineChars="196"/>
        <w:rPr>
          <w:rFonts w:ascii="宋体" w:hAnsi="宋体"/>
          <w:color w:val="000000"/>
          <w:sz w:val="24"/>
        </w:rPr>
      </w:pPr>
      <w:r>
        <w:rPr>
          <w:rFonts w:hint="eastAsia" w:ascii="宋体" w:hAnsi="宋体"/>
          <w:color w:val="000000"/>
          <w:sz w:val="24"/>
        </w:rPr>
        <w:t>我方</w:t>
      </w:r>
      <w:r>
        <w:rPr>
          <w:rFonts w:ascii="宋体" w:hAnsi="宋体"/>
          <w:color w:val="000000"/>
          <w:sz w:val="24"/>
        </w:rPr>
        <w:t>参加本次采购项目为非联合体。</w:t>
      </w:r>
    </w:p>
    <w:p>
      <w:pPr>
        <w:spacing w:line="360" w:lineRule="auto"/>
        <w:ind w:firstLine="470" w:firstLineChars="196"/>
        <w:rPr>
          <w:rFonts w:ascii="宋体" w:hAnsi="宋体"/>
          <w:color w:val="000000"/>
          <w:sz w:val="24"/>
        </w:rPr>
      </w:pPr>
      <w:r>
        <w:rPr>
          <w:rFonts w:ascii="宋体" w:hAnsi="宋体"/>
          <w:color w:val="000000"/>
          <w:sz w:val="24"/>
        </w:rPr>
        <w:t>我方对上述承诺的内容事项真实性负责。如经查实上述承诺的内容事项存在虚假，</w:t>
      </w:r>
      <w:r>
        <w:rPr>
          <w:rFonts w:hint="eastAsia" w:ascii="宋体" w:hAnsi="宋体"/>
          <w:color w:val="000000"/>
          <w:sz w:val="24"/>
        </w:rPr>
        <w:t>我方</w:t>
      </w:r>
      <w:r>
        <w:rPr>
          <w:rFonts w:ascii="宋体" w:hAnsi="宋体"/>
          <w:color w:val="000000"/>
          <w:sz w:val="24"/>
        </w:rPr>
        <w:t>愿意接受以提供虚假材料谋取成交的法律责任。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pStyle w:val="4"/>
        <w:snapToGrid w:val="0"/>
        <w:spacing w:after="120"/>
        <w:jc w:val="left"/>
        <w:rPr>
          <w:sz w:val="24"/>
          <w:szCs w:val="24"/>
        </w:rPr>
      </w:pPr>
      <w:r>
        <w:br w:type="page"/>
      </w:r>
      <w:r>
        <w:rPr>
          <w:rFonts w:hint="eastAsia"/>
          <w:snapToGrid w:val="0"/>
          <w:sz w:val="28"/>
          <w:szCs w:val="28"/>
        </w:rPr>
        <w:t>三、条款响应表</w:t>
      </w:r>
    </w:p>
    <w:p>
      <w:pPr>
        <w:tabs>
          <w:tab w:val="left" w:pos="900"/>
          <w:tab w:val="left" w:pos="1080"/>
        </w:tabs>
        <w:spacing w:before="120" w:beforeLines="50" w:after="120" w:afterLines="50"/>
        <w:rPr>
          <w:rFonts w:ascii="宋体" w:hAnsi="宋体"/>
          <w:b/>
          <w:color w:val="000000"/>
          <w:sz w:val="24"/>
          <w:szCs w:val="24"/>
        </w:rPr>
      </w:pPr>
      <w:r>
        <w:rPr>
          <w:rFonts w:hint="eastAsia" w:ascii="宋体" w:hAnsi="宋体"/>
          <w:b/>
          <w:color w:val="000000"/>
          <w:sz w:val="24"/>
          <w:szCs w:val="24"/>
        </w:rPr>
        <w:t>（一）一般商务条款响应表</w:t>
      </w:r>
    </w:p>
    <w:tbl>
      <w:tblPr>
        <w:tblStyle w:val="39"/>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103"/>
        <w:gridCol w:w="141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序号</w:t>
            </w:r>
          </w:p>
        </w:tc>
        <w:tc>
          <w:tcPr>
            <w:tcW w:w="5103"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商务条款要求</w:t>
            </w:r>
          </w:p>
        </w:tc>
        <w:tc>
          <w:tcPr>
            <w:tcW w:w="1417"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是否响应</w:t>
            </w:r>
          </w:p>
        </w:tc>
        <w:tc>
          <w:tcPr>
            <w:tcW w:w="1308" w:type="dxa"/>
            <w:shd w:val="clear" w:color="auto" w:fill="FFFFFF"/>
            <w:vAlign w:val="center"/>
          </w:tcPr>
          <w:p>
            <w:pPr>
              <w:tabs>
                <w:tab w:val="left" w:pos="7740"/>
              </w:tabs>
              <w:spacing w:line="0" w:lineRule="atLeast"/>
              <w:jc w:val="center"/>
              <w:rPr>
                <w:rFonts w:ascii="宋体" w:hAnsi="宋体"/>
                <w:b/>
                <w:bCs/>
                <w:color w:val="000000"/>
                <w:sz w:val="24"/>
                <w:szCs w:val="24"/>
              </w:rPr>
            </w:pPr>
            <w:r>
              <w:rPr>
                <w:rFonts w:hint="eastAsia" w:ascii="宋体" w:hAnsi="宋体"/>
                <w:b/>
                <w:bCs/>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1</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完全理解并接受用户需求书内容</w:t>
            </w:r>
          </w:p>
        </w:tc>
        <w:tc>
          <w:tcPr>
            <w:tcW w:w="1417" w:type="dxa"/>
            <w:vAlign w:val="center"/>
          </w:tcPr>
          <w:p>
            <w:pPr>
              <w:pStyle w:val="65"/>
              <w:keepNext w:val="0"/>
              <w:tabs>
                <w:tab w:val="left" w:pos="7740"/>
              </w:tabs>
              <w:adjustRightInd/>
              <w:spacing w:before="0" w:after="0" w:line="0" w:lineRule="atLeast"/>
              <w:textAlignment w:val="auto"/>
              <w:rPr>
                <w:rFonts w:ascii="宋体" w:hAnsi="宋体"/>
                <w:snapToGrid/>
                <w:color w:val="000000"/>
                <w:spacing w:val="0"/>
                <w:kern w:val="2"/>
                <w:szCs w:val="24"/>
              </w:rPr>
            </w:pPr>
          </w:p>
        </w:tc>
        <w:tc>
          <w:tcPr>
            <w:tcW w:w="1308" w:type="dxa"/>
            <w:vAlign w:val="center"/>
          </w:tcPr>
          <w:p>
            <w:pPr>
              <w:tabs>
                <w:tab w:val="left" w:pos="7740"/>
              </w:tabs>
              <w:spacing w:line="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2</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完全理解并接受对合格报价人、合格的货物、工程和服务要求</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3</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完全理解并接受对报价人的各项须知、规约要求和责任义务</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420"/>
                <w:tab w:val="left" w:pos="7740"/>
              </w:tabs>
              <w:spacing w:line="0" w:lineRule="atLeast"/>
              <w:jc w:val="center"/>
              <w:rPr>
                <w:rFonts w:ascii="宋体" w:hAnsi="宋体"/>
                <w:color w:val="000000"/>
                <w:sz w:val="24"/>
                <w:szCs w:val="24"/>
              </w:rPr>
            </w:pPr>
            <w:r>
              <w:rPr>
                <w:rFonts w:hint="eastAsia" w:ascii="宋体" w:hAnsi="宋体"/>
                <w:color w:val="000000"/>
                <w:sz w:val="24"/>
                <w:szCs w:val="24"/>
              </w:rPr>
              <w:t>4</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报价内容均涵盖报价要求之一切费用和伴随服务</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7740"/>
              </w:tabs>
              <w:spacing w:line="0" w:lineRule="atLeast"/>
              <w:jc w:val="center"/>
              <w:rPr>
                <w:rFonts w:ascii="宋体" w:hAnsi="宋体"/>
                <w:color w:val="000000"/>
                <w:sz w:val="24"/>
                <w:szCs w:val="24"/>
                <w:lang w:val="zh-CN"/>
              </w:rPr>
            </w:pPr>
            <w:r>
              <w:rPr>
                <w:rFonts w:hint="eastAsia" w:ascii="宋体" w:hAnsi="宋体"/>
                <w:color w:val="000000"/>
                <w:sz w:val="24"/>
                <w:szCs w:val="24"/>
                <w:lang w:val="zh-CN"/>
              </w:rPr>
              <w:t>5</w:t>
            </w:r>
          </w:p>
        </w:tc>
        <w:tc>
          <w:tcPr>
            <w:tcW w:w="5103" w:type="dxa"/>
            <w:vAlign w:val="center"/>
          </w:tcPr>
          <w:p>
            <w:pPr>
              <w:tabs>
                <w:tab w:val="left" w:pos="7740"/>
              </w:tabs>
              <w:spacing w:line="0" w:lineRule="atLeast"/>
              <w:rPr>
                <w:rFonts w:ascii="宋体" w:hAnsi="宋体"/>
                <w:color w:val="000000"/>
                <w:sz w:val="24"/>
                <w:szCs w:val="24"/>
                <w:lang w:val="zh-CN"/>
              </w:rPr>
            </w:pPr>
            <w:r>
              <w:rPr>
                <w:rFonts w:hint="eastAsia" w:ascii="宋体" w:hAnsi="宋体"/>
                <w:color w:val="000000"/>
                <w:sz w:val="24"/>
                <w:szCs w:val="24"/>
                <w:lang w:val="zh-CN"/>
              </w:rPr>
              <w:t>同意采购人以任何形式对我方报价文件内容的真实性和有效性进行审查、验证</w:t>
            </w:r>
          </w:p>
        </w:tc>
        <w:tc>
          <w:tcPr>
            <w:tcW w:w="1417" w:type="dxa"/>
            <w:vAlign w:val="center"/>
          </w:tcPr>
          <w:p>
            <w:pPr>
              <w:tabs>
                <w:tab w:val="left" w:pos="7740"/>
              </w:tabs>
              <w:spacing w:line="0" w:lineRule="atLeast"/>
              <w:jc w:val="center"/>
              <w:rPr>
                <w:rFonts w:ascii="宋体" w:hAnsi="宋体"/>
                <w:color w:val="000000"/>
                <w:sz w:val="24"/>
                <w:szCs w:val="24"/>
              </w:rPr>
            </w:pPr>
          </w:p>
        </w:tc>
        <w:tc>
          <w:tcPr>
            <w:tcW w:w="1308" w:type="dxa"/>
            <w:vAlign w:val="center"/>
          </w:tcPr>
          <w:p>
            <w:pPr>
              <w:tabs>
                <w:tab w:val="left" w:pos="7740"/>
              </w:tabs>
              <w:spacing w:line="0" w:lineRule="atLeast"/>
              <w:ind w:right="-35"/>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vAlign w:val="center"/>
          </w:tcPr>
          <w:p>
            <w:pPr>
              <w:tabs>
                <w:tab w:val="left" w:pos="7740"/>
              </w:tabs>
              <w:spacing w:line="0" w:lineRule="atLeast"/>
              <w:jc w:val="center"/>
              <w:rPr>
                <w:rFonts w:ascii="宋体" w:hAnsi="宋体"/>
                <w:color w:val="000000"/>
                <w:sz w:val="24"/>
                <w:szCs w:val="24"/>
                <w:lang w:val="zh-CN"/>
              </w:rPr>
            </w:pPr>
            <w:r>
              <w:rPr>
                <w:rFonts w:hint="eastAsia" w:ascii="宋体" w:hAnsi="宋体"/>
                <w:color w:val="000000"/>
                <w:sz w:val="24"/>
                <w:szCs w:val="24"/>
                <w:lang w:val="zh-CN"/>
              </w:rPr>
              <w:t>6</w:t>
            </w:r>
          </w:p>
        </w:tc>
        <w:tc>
          <w:tcPr>
            <w:tcW w:w="7828" w:type="dxa"/>
            <w:gridSpan w:val="3"/>
            <w:vAlign w:val="center"/>
          </w:tcPr>
          <w:p>
            <w:pPr>
              <w:tabs>
                <w:tab w:val="left" w:pos="7740"/>
              </w:tabs>
              <w:spacing w:line="0" w:lineRule="atLeast"/>
              <w:ind w:right="-35"/>
              <w:rPr>
                <w:rFonts w:ascii="宋体" w:hAnsi="宋体"/>
                <w:color w:val="000000"/>
                <w:sz w:val="24"/>
                <w:szCs w:val="24"/>
                <w:lang w:val="zh-CN"/>
              </w:rPr>
            </w:pPr>
            <w:r>
              <w:rPr>
                <w:rFonts w:hint="eastAsia" w:ascii="宋体" w:hAnsi="宋体"/>
                <w:color w:val="000000"/>
                <w:sz w:val="24"/>
                <w:szCs w:val="24"/>
                <w:lang w:val="zh-CN"/>
              </w:rPr>
              <w:t>其它商务条款偏离说明：</w:t>
            </w:r>
          </w:p>
        </w:tc>
      </w:tr>
    </w:tbl>
    <w:p>
      <w:pPr>
        <w:spacing w:line="360" w:lineRule="auto"/>
        <w:rPr>
          <w:rFonts w:ascii="宋体" w:hAnsi="宋体"/>
          <w:color w:val="000000"/>
          <w:sz w:val="24"/>
          <w:szCs w:val="24"/>
          <w:lang w:val="en-GB"/>
        </w:rPr>
      </w:pPr>
    </w:p>
    <w:p>
      <w:pPr>
        <w:spacing w:line="360" w:lineRule="auto"/>
        <w:rPr>
          <w:rFonts w:ascii="宋体" w:hAnsi="宋体"/>
          <w:color w:val="000000"/>
          <w:sz w:val="24"/>
          <w:szCs w:val="24"/>
        </w:rPr>
      </w:pPr>
      <w:r>
        <w:rPr>
          <w:rFonts w:hint="eastAsia" w:ascii="宋体" w:hAnsi="宋体"/>
          <w:color w:val="000000"/>
          <w:sz w:val="24"/>
          <w:szCs w:val="24"/>
        </w:rPr>
        <w:t>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1、如报价人在“是否响应”栏内空白及打“√”表示完全响应；打“×”视为偏离，请在“偏离说明”栏内扼要说明偏离情况。</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2、本表内容不得擅自修改。</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rPr>
          <w:rFonts w:ascii="宋体" w:hAnsi="宋体"/>
          <w:color w:val="000000"/>
          <w:sz w:val="24"/>
          <w:szCs w:val="24"/>
        </w:rPr>
      </w:pPr>
    </w:p>
    <w:p>
      <w:pPr>
        <w:tabs>
          <w:tab w:val="left" w:pos="900"/>
          <w:tab w:val="left" w:pos="1080"/>
        </w:tabs>
        <w:spacing w:before="120" w:beforeLines="50" w:after="120" w:afterLines="50"/>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（二）“★”号的条款响应表</w:t>
      </w:r>
    </w:p>
    <w:tbl>
      <w:tblPr>
        <w:tblStyle w:val="3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9"/>
        <w:gridCol w:w="1792"/>
        <w:gridCol w:w="20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vAlign w:val="center"/>
          </w:tcPr>
          <w:p>
            <w:pPr>
              <w:adjustRightInd w:val="0"/>
              <w:snapToGrid w:val="0"/>
              <w:spacing w:line="240" w:lineRule="atLeast"/>
              <w:jc w:val="center"/>
              <w:rPr>
                <w:rFonts w:ascii="宋体" w:hAnsi="宋体"/>
                <w:b/>
                <w:color w:val="000000"/>
                <w:sz w:val="24"/>
                <w:szCs w:val="24"/>
              </w:rPr>
            </w:pPr>
            <w:r>
              <w:rPr>
                <w:rFonts w:hint="eastAsia" w:ascii="宋体" w:hAnsi="宋体"/>
                <w:b/>
                <w:color w:val="000000"/>
                <w:sz w:val="24"/>
                <w:szCs w:val="24"/>
              </w:rPr>
              <w:t>序号</w:t>
            </w:r>
          </w:p>
        </w:tc>
        <w:tc>
          <w:tcPr>
            <w:tcW w:w="2079" w:type="dxa"/>
            <w:vAlign w:val="center"/>
          </w:tcPr>
          <w:p>
            <w:pPr>
              <w:adjustRightInd w:val="0"/>
              <w:snapToGrid w:val="0"/>
              <w:spacing w:line="240" w:lineRule="atLeast"/>
              <w:jc w:val="center"/>
              <w:rPr>
                <w:rFonts w:ascii="宋体" w:hAnsi="宋体"/>
                <w:b/>
                <w:color w:val="000000"/>
                <w:sz w:val="24"/>
                <w:szCs w:val="24"/>
              </w:rPr>
            </w:pPr>
            <w:r>
              <w:rPr>
                <w:rFonts w:hint="eastAsia" w:ascii="宋体" w:hAnsi="宋体"/>
                <w:b/>
                <w:color w:val="000000"/>
                <w:sz w:val="24"/>
                <w:szCs w:val="24"/>
              </w:rPr>
              <w:t>用户需求书要求</w:t>
            </w:r>
          </w:p>
        </w:tc>
        <w:tc>
          <w:tcPr>
            <w:tcW w:w="1792" w:type="dxa"/>
            <w:vAlign w:val="center"/>
          </w:tcPr>
          <w:p>
            <w:pPr>
              <w:adjustRightInd w:val="0"/>
              <w:snapToGrid w:val="0"/>
              <w:spacing w:line="240" w:lineRule="atLeast"/>
              <w:jc w:val="center"/>
              <w:rPr>
                <w:rFonts w:ascii="宋体" w:hAnsi="宋体"/>
                <w:b/>
                <w:color w:val="000000"/>
                <w:sz w:val="24"/>
                <w:szCs w:val="24"/>
              </w:rPr>
            </w:pPr>
            <w:r>
              <w:rPr>
                <w:rFonts w:hint="eastAsia" w:ascii="宋体" w:hAnsi="宋体"/>
                <w:b/>
                <w:color w:val="000000"/>
                <w:sz w:val="24"/>
                <w:szCs w:val="24"/>
              </w:rPr>
              <w:t>实际响应情况</w:t>
            </w:r>
          </w:p>
        </w:tc>
        <w:tc>
          <w:tcPr>
            <w:tcW w:w="2083" w:type="dxa"/>
            <w:vAlign w:val="center"/>
          </w:tcPr>
          <w:p>
            <w:pPr>
              <w:adjustRightInd w:val="0"/>
              <w:snapToGrid w:val="0"/>
              <w:spacing w:line="240" w:lineRule="atLeast"/>
              <w:jc w:val="center"/>
              <w:rPr>
                <w:rFonts w:ascii="宋体" w:hAnsi="宋体"/>
                <w:b/>
                <w:color w:val="000000"/>
                <w:sz w:val="24"/>
                <w:szCs w:val="24"/>
              </w:rPr>
            </w:pPr>
            <w:r>
              <w:rPr>
                <w:rFonts w:hint="eastAsia" w:ascii="宋体" w:hAnsi="宋体"/>
                <w:b/>
                <w:color w:val="000000"/>
                <w:sz w:val="24"/>
                <w:szCs w:val="24"/>
              </w:rPr>
              <w:t>是否偏离（无偏离/正偏离/负偏离）</w:t>
            </w:r>
          </w:p>
        </w:tc>
        <w:tc>
          <w:tcPr>
            <w:tcW w:w="1984" w:type="dxa"/>
            <w:vAlign w:val="center"/>
          </w:tcPr>
          <w:p>
            <w:pPr>
              <w:adjustRightInd w:val="0"/>
              <w:snapToGrid w:val="0"/>
              <w:spacing w:line="240" w:lineRule="atLeast"/>
              <w:jc w:val="center"/>
              <w:rPr>
                <w:rFonts w:ascii="宋体" w:hAnsi="宋体"/>
                <w:b/>
                <w:color w:val="000000"/>
                <w:sz w:val="24"/>
                <w:szCs w:val="24"/>
              </w:rPr>
            </w:pPr>
            <w:r>
              <w:rPr>
                <w:rFonts w:hint="eastAsia" w:ascii="宋体" w:hAnsi="宋体"/>
                <w:b/>
                <w:color w:val="000000"/>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vAlign w:val="center"/>
          </w:tcPr>
          <w:p>
            <w:pPr>
              <w:adjustRightInd w:val="0"/>
              <w:snapToGrid w:val="0"/>
              <w:spacing w:line="240" w:lineRule="atLeast"/>
              <w:jc w:val="center"/>
              <w:rPr>
                <w:rFonts w:ascii="宋体" w:hAnsi="宋体"/>
                <w:color w:val="000000"/>
                <w:sz w:val="24"/>
                <w:szCs w:val="24"/>
              </w:rPr>
            </w:pPr>
            <w:r>
              <w:rPr>
                <w:rFonts w:hint="eastAsia" w:ascii="宋体" w:hAnsi="宋体"/>
                <w:color w:val="000000"/>
                <w:sz w:val="24"/>
                <w:szCs w:val="24"/>
              </w:rPr>
              <w:t>1</w:t>
            </w:r>
          </w:p>
        </w:tc>
        <w:tc>
          <w:tcPr>
            <w:tcW w:w="2079" w:type="dxa"/>
            <w:vAlign w:val="center"/>
          </w:tcPr>
          <w:p>
            <w:pPr>
              <w:adjustRightInd w:val="0"/>
              <w:snapToGrid w:val="0"/>
              <w:spacing w:line="240" w:lineRule="atLeast"/>
              <w:jc w:val="center"/>
              <w:rPr>
                <w:rFonts w:ascii="宋体" w:hAnsi="宋体"/>
                <w:color w:val="000000"/>
                <w:sz w:val="24"/>
                <w:szCs w:val="24"/>
              </w:rPr>
            </w:pPr>
          </w:p>
        </w:tc>
        <w:tc>
          <w:tcPr>
            <w:tcW w:w="1792" w:type="dxa"/>
            <w:vAlign w:val="center"/>
          </w:tcPr>
          <w:p>
            <w:pPr>
              <w:adjustRightInd w:val="0"/>
              <w:snapToGrid w:val="0"/>
              <w:spacing w:line="240" w:lineRule="atLeast"/>
              <w:jc w:val="center"/>
              <w:rPr>
                <w:rFonts w:ascii="宋体" w:hAnsi="宋体"/>
                <w:color w:val="000000"/>
                <w:sz w:val="24"/>
                <w:szCs w:val="24"/>
              </w:rPr>
            </w:pPr>
          </w:p>
        </w:tc>
        <w:tc>
          <w:tcPr>
            <w:tcW w:w="2083" w:type="dxa"/>
            <w:vAlign w:val="center"/>
          </w:tcPr>
          <w:p>
            <w:pPr>
              <w:adjustRightInd w:val="0"/>
              <w:snapToGrid w:val="0"/>
              <w:spacing w:line="240" w:lineRule="atLeast"/>
              <w:jc w:val="center"/>
              <w:rPr>
                <w:rFonts w:ascii="宋体" w:hAnsi="宋体"/>
                <w:color w:val="000000"/>
                <w:sz w:val="24"/>
                <w:szCs w:val="24"/>
              </w:rPr>
            </w:pPr>
          </w:p>
        </w:tc>
        <w:tc>
          <w:tcPr>
            <w:tcW w:w="1984" w:type="dxa"/>
            <w:vAlign w:val="center"/>
          </w:tcPr>
          <w:p>
            <w:pPr>
              <w:adjustRightInd w:val="0"/>
              <w:snapToGrid w:val="0"/>
              <w:spacing w:line="24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vAlign w:val="center"/>
          </w:tcPr>
          <w:p>
            <w:pPr>
              <w:adjustRightInd w:val="0"/>
              <w:snapToGrid w:val="0"/>
              <w:spacing w:line="240" w:lineRule="atLeast"/>
              <w:jc w:val="center"/>
              <w:rPr>
                <w:rFonts w:ascii="宋体" w:hAnsi="宋体"/>
                <w:color w:val="000000"/>
                <w:sz w:val="24"/>
                <w:szCs w:val="24"/>
              </w:rPr>
            </w:pPr>
            <w:r>
              <w:rPr>
                <w:rFonts w:hint="eastAsia" w:ascii="宋体" w:hAnsi="宋体"/>
                <w:color w:val="000000"/>
                <w:sz w:val="24"/>
                <w:szCs w:val="24"/>
              </w:rPr>
              <w:t>2</w:t>
            </w:r>
          </w:p>
        </w:tc>
        <w:tc>
          <w:tcPr>
            <w:tcW w:w="2079" w:type="dxa"/>
            <w:vAlign w:val="center"/>
          </w:tcPr>
          <w:p>
            <w:pPr>
              <w:adjustRightInd w:val="0"/>
              <w:snapToGrid w:val="0"/>
              <w:spacing w:line="240" w:lineRule="atLeast"/>
              <w:jc w:val="center"/>
              <w:rPr>
                <w:rFonts w:ascii="宋体" w:hAnsi="宋体"/>
                <w:color w:val="000000"/>
                <w:sz w:val="24"/>
                <w:szCs w:val="24"/>
              </w:rPr>
            </w:pPr>
          </w:p>
        </w:tc>
        <w:tc>
          <w:tcPr>
            <w:tcW w:w="1792" w:type="dxa"/>
            <w:vAlign w:val="center"/>
          </w:tcPr>
          <w:p>
            <w:pPr>
              <w:adjustRightInd w:val="0"/>
              <w:snapToGrid w:val="0"/>
              <w:spacing w:line="240" w:lineRule="atLeast"/>
              <w:jc w:val="center"/>
              <w:rPr>
                <w:rFonts w:ascii="宋体" w:hAnsi="宋体"/>
                <w:color w:val="000000"/>
                <w:sz w:val="24"/>
                <w:szCs w:val="24"/>
              </w:rPr>
            </w:pPr>
          </w:p>
        </w:tc>
        <w:tc>
          <w:tcPr>
            <w:tcW w:w="2083" w:type="dxa"/>
            <w:vAlign w:val="center"/>
          </w:tcPr>
          <w:p>
            <w:pPr>
              <w:adjustRightInd w:val="0"/>
              <w:snapToGrid w:val="0"/>
              <w:spacing w:line="240" w:lineRule="atLeast"/>
              <w:jc w:val="center"/>
              <w:rPr>
                <w:rFonts w:ascii="宋体" w:hAnsi="宋体"/>
                <w:color w:val="000000"/>
                <w:sz w:val="24"/>
                <w:szCs w:val="24"/>
              </w:rPr>
            </w:pPr>
          </w:p>
        </w:tc>
        <w:tc>
          <w:tcPr>
            <w:tcW w:w="1984" w:type="dxa"/>
            <w:vAlign w:val="center"/>
          </w:tcPr>
          <w:p>
            <w:pPr>
              <w:adjustRightInd w:val="0"/>
              <w:snapToGrid w:val="0"/>
              <w:spacing w:line="24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vAlign w:val="center"/>
          </w:tcPr>
          <w:p>
            <w:pPr>
              <w:spacing w:line="360" w:lineRule="auto"/>
              <w:jc w:val="center"/>
              <w:rPr>
                <w:rFonts w:ascii="宋体" w:hAnsi="宋体"/>
                <w:color w:val="000000"/>
                <w:sz w:val="24"/>
                <w:szCs w:val="24"/>
              </w:rPr>
            </w:pPr>
          </w:p>
        </w:tc>
        <w:tc>
          <w:tcPr>
            <w:tcW w:w="2079" w:type="dxa"/>
            <w:vAlign w:val="center"/>
          </w:tcPr>
          <w:p>
            <w:pPr>
              <w:spacing w:line="360" w:lineRule="auto"/>
              <w:jc w:val="center"/>
              <w:rPr>
                <w:rFonts w:ascii="宋体" w:hAnsi="宋体"/>
                <w:color w:val="000000"/>
                <w:sz w:val="24"/>
                <w:szCs w:val="24"/>
              </w:rPr>
            </w:pPr>
          </w:p>
        </w:tc>
        <w:tc>
          <w:tcPr>
            <w:tcW w:w="1792" w:type="dxa"/>
            <w:vAlign w:val="center"/>
          </w:tcPr>
          <w:p>
            <w:pPr>
              <w:spacing w:line="360" w:lineRule="auto"/>
              <w:jc w:val="center"/>
              <w:rPr>
                <w:rFonts w:ascii="宋体" w:hAnsi="宋体"/>
                <w:color w:val="000000"/>
                <w:sz w:val="24"/>
                <w:szCs w:val="24"/>
              </w:rPr>
            </w:pPr>
          </w:p>
        </w:tc>
        <w:tc>
          <w:tcPr>
            <w:tcW w:w="2083" w:type="dxa"/>
            <w:vAlign w:val="center"/>
          </w:tcPr>
          <w:p>
            <w:pPr>
              <w:spacing w:line="360" w:lineRule="auto"/>
              <w:jc w:val="center"/>
              <w:rPr>
                <w:rFonts w:ascii="宋体" w:hAnsi="宋体"/>
                <w:color w:val="000000"/>
                <w:sz w:val="24"/>
                <w:szCs w:val="24"/>
              </w:rPr>
            </w:pPr>
          </w:p>
        </w:tc>
        <w:tc>
          <w:tcPr>
            <w:tcW w:w="198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w:t>
            </w:r>
          </w:p>
        </w:tc>
        <w:tc>
          <w:tcPr>
            <w:tcW w:w="2079" w:type="dxa"/>
            <w:vAlign w:val="center"/>
          </w:tcPr>
          <w:p>
            <w:pPr>
              <w:spacing w:line="360" w:lineRule="auto"/>
              <w:jc w:val="center"/>
              <w:rPr>
                <w:rFonts w:ascii="宋体" w:hAnsi="宋体"/>
                <w:color w:val="000000"/>
                <w:sz w:val="24"/>
                <w:szCs w:val="24"/>
              </w:rPr>
            </w:pPr>
          </w:p>
        </w:tc>
        <w:tc>
          <w:tcPr>
            <w:tcW w:w="1792" w:type="dxa"/>
            <w:vAlign w:val="center"/>
          </w:tcPr>
          <w:p>
            <w:pPr>
              <w:spacing w:line="360" w:lineRule="auto"/>
              <w:jc w:val="center"/>
              <w:rPr>
                <w:rFonts w:ascii="宋体" w:hAnsi="宋体"/>
                <w:color w:val="000000"/>
                <w:sz w:val="24"/>
                <w:szCs w:val="24"/>
              </w:rPr>
            </w:pPr>
          </w:p>
        </w:tc>
        <w:tc>
          <w:tcPr>
            <w:tcW w:w="2083" w:type="dxa"/>
            <w:vAlign w:val="center"/>
          </w:tcPr>
          <w:p>
            <w:pPr>
              <w:spacing w:line="360" w:lineRule="auto"/>
              <w:jc w:val="center"/>
              <w:rPr>
                <w:rFonts w:ascii="宋体" w:hAnsi="宋体"/>
                <w:color w:val="000000"/>
                <w:sz w:val="24"/>
                <w:szCs w:val="24"/>
              </w:rPr>
            </w:pPr>
          </w:p>
        </w:tc>
        <w:tc>
          <w:tcPr>
            <w:tcW w:w="1984" w:type="dxa"/>
            <w:vAlign w:val="center"/>
          </w:tcPr>
          <w:p>
            <w:pPr>
              <w:spacing w:line="360" w:lineRule="auto"/>
              <w:jc w:val="center"/>
              <w:rPr>
                <w:rFonts w:ascii="宋体" w:hAnsi="宋体"/>
                <w:color w:val="000000"/>
                <w:sz w:val="24"/>
                <w:szCs w:val="24"/>
              </w:rPr>
            </w:pPr>
          </w:p>
        </w:tc>
      </w:tr>
    </w:tbl>
    <w:p>
      <w:pPr>
        <w:spacing w:line="360" w:lineRule="auto"/>
        <w:rPr>
          <w:rFonts w:ascii="宋体" w:hAnsi="宋体"/>
          <w:b/>
          <w:color w:val="000000"/>
          <w:sz w:val="24"/>
          <w:szCs w:val="24"/>
        </w:rPr>
      </w:pP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1、报价人应对采购文件“用户需求书”的“★”项内容逐条响应。如有缺漏，缺漏项视同不符合采购要求。</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2、本表内容不得擅自修改。</w:t>
      </w:r>
    </w:p>
    <w:p>
      <w:pPr>
        <w:spacing w:line="360" w:lineRule="auto"/>
        <w:rPr>
          <w:rFonts w:ascii="宋体" w:hAnsi="宋体"/>
          <w:color w:val="000000"/>
          <w:sz w:val="24"/>
          <w:szCs w:val="24"/>
        </w:rPr>
      </w:pP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900"/>
          <w:tab w:val="left" w:pos="1080"/>
        </w:tabs>
        <w:spacing w:before="120" w:beforeLines="50" w:after="120" w:afterLines="50"/>
        <w:rPr>
          <w:rFonts w:ascii="宋体" w:hAnsi="宋体"/>
          <w:color w:val="000000"/>
          <w:sz w:val="24"/>
          <w:szCs w:val="24"/>
        </w:rPr>
      </w:pPr>
    </w:p>
    <w:p>
      <w:pPr>
        <w:pStyle w:val="4"/>
        <w:snapToGrid w:val="0"/>
        <w:spacing w:after="120"/>
        <w:jc w:val="left"/>
      </w:pPr>
      <w:r>
        <w:rPr>
          <w:snapToGrid w:val="0"/>
          <w:sz w:val="28"/>
          <w:szCs w:val="28"/>
        </w:rPr>
        <w:br w:type="page"/>
      </w:r>
      <w:r>
        <w:rPr>
          <w:rFonts w:hint="eastAsia"/>
          <w:snapToGrid w:val="0"/>
          <w:sz w:val="28"/>
          <w:szCs w:val="28"/>
        </w:rPr>
        <w:t>三、价格部分</w:t>
      </w:r>
    </w:p>
    <w:p>
      <w:pPr>
        <w:spacing w:line="360" w:lineRule="auto"/>
        <w:rPr>
          <w:color w:val="000000"/>
          <w:lang w:val="en-GB"/>
        </w:rPr>
      </w:pPr>
    </w:p>
    <w:p>
      <w:pPr>
        <w:spacing w:line="360" w:lineRule="auto"/>
        <w:rPr>
          <w:b/>
          <w:color w:val="000000"/>
          <w:sz w:val="24"/>
          <w:szCs w:val="24"/>
        </w:rPr>
      </w:pPr>
    </w:p>
    <w:p>
      <w:pPr>
        <w:spacing w:line="360" w:lineRule="auto"/>
        <w:jc w:val="center"/>
        <w:rPr>
          <w:color w:val="000000"/>
        </w:rPr>
      </w:pPr>
    </w:p>
    <w:p>
      <w:pPr>
        <w:spacing w:line="360" w:lineRule="auto"/>
        <w:jc w:val="center"/>
        <w:rPr>
          <w:color w:val="000000"/>
        </w:rPr>
      </w:pPr>
      <w:r>
        <w:rPr>
          <w:rFonts w:hint="eastAsia"/>
          <w:b/>
          <w:color w:val="000000"/>
          <w:sz w:val="24"/>
          <w:szCs w:val="24"/>
        </w:rPr>
        <w:t>报价总表</w:t>
      </w:r>
    </w:p>
    <w:p>
      <w:pPr>
        <w:spacing w:line="360" w:lineRule="auto"/>
        <w:jc w:val="center"/>
        <w:rPr>
          <w:color w:val="000000"/>
        </w:rPr>
      </w:pP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采购项目名称</w:t>
            </w:r>
          </w:p>
        </w:tc>
        <w:tc>
          <w:tcPr>
            <w:tcW w:w="6840" w:type="dxa"/>
            <w:tcBorders>
              <w:bottom w:val="single" w:color="auto" w:sz="4" w:space="0"/>
            </w:tcBorders>
            <w:vAlign w:val="center"/>
          </w:tcPr>
          <w:p>
            <w:pPr>
              <w:jc w:val="left"/>
              <w:rPr>
                <w:rFonts w:ascii="宋体" w:hAnsi="宋体"/>
                <w:color w:val="000000"/>
                <w:sz w:val="24"/>
              </w:rPr>
            </w:pPr>
            <w:r>
              <w:rPr>
                <w:rFonts w:hint="eastAsia" w:ascii="宋体" w:hAnsi="宋体"/>
                <w:color w:val="000000"/>
                <w:sz w:val="24"/>
                <w:szCs w:val="24"/>
              </w:rPr>
              <w:t>台山市人民法院2023年辅助送达服务采购项目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vAlign w:val="center"/>
          </w:tcPr>
          <w:p>
            <w:pPr>
              <w:jc w:val="center"/>
              <w:rPr>
                <w:rFonts w:ascii="宋体" w:hAnsi="宋体"/>
                <w:bCs/>
                <w:color w:val="000000"/>
                <w:sz w:val="24"/>
              </w:rPr>
            </w:pPr>
            <w:r>
              <w:rPr>
                <w:rFonts w:hint="eastAsia" w:ascii="宋体" w:hAnsi="宋体"/>
                <w:bCs/>
                <w:color w:val="000000"/>
                <w:sz w:val="24"/>
              </w:rPr>
              <w:t>采购项目编号</w:t>
            </w:r>
          </w:p>
        </w:tc>
        <w:tc>
          <w:tcPr>
            <w:tcW w:w="6840" w:type="dxa"/>
            <w:tcBorders>
              <w:bottom w:val="single" w:color="auto" w:sz="4" w:space="0"/>
            </w:tcBorders>
            <w:vAlign w:val="center"/>
          </w:tcPr>
          <w:p>
            <w:pPr>
              <w:jc w:val="left"/>
              <w:rPr>
                <w:rFonts w:ascii="宋体" w:hAnsi="宋体"/>
                <w:color w:val="000000"/>
                <w:sz w:val="24"/>
              </w:rPr>
            </w:pPr>
            <w:r>
              <w:rPr>
                <w:rFonts w:ascii="宋体" w:hAnsi="宋体"/>
                <w:color w:val="000000"/>
                <w:sz w:val="24"/>
                <w:szCs w:val="24"/>
              </w:rPr>
              <w:t>TSFY-202</w:t>
            </w:r>
            <w:r>
              <w:rPr>
                <w:rFonts w:hint="eastAsia" w:ascii="宋体" w:hAnsi="宋体"/>
                <w:color w:val="000000"/>
                <w:sz w:val="24"/>
                <w:szCs w:val="24"/>
              </w:rPr>
              <w:t>3</w:t>
            </w:r>
            <w:r>
              <w:rPr>
                <w:rFonts w:ascii="宋体" w:hAnsi="宋体"/>
                <w:color w:val="000000"/>
                <w:sz w:val="24"/>
                <w:szCs w:val="24"/>
              </w:rPr>
              <w:t>00</w:t>
            </w: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980" w:type="dxa"/>
            <w:tcBorders>
              <w:bottom w:val="single" w:color="auto" w:sz="2" w:space="0"/>
            </w:tcBorders>
            <w:vAlign w:val="center"/>
          </w:tcPr>
          <w:p>
            <w:pPr>
              <w:jc w:val="center"/>
              <w:rPr>
                <w:rFonts w:ascii="宋体" w:hAnsi="宋体"/>
                <w:bCs/>
                <w:color w:val="000000"/>
                <w:sz w:val="24"/>
              </w:rPr>
            </w:pPr>
            <w:r>
              <w:rPr>
                <w:rFonts w:hint="eastAsia" w:ascii="宋体" w:hAnsi="宋体"/>
                <w:bCs/>
                <w:color w:val="000000"/>
                <w:sz w:val="24"/>
              </w:rPr>
              <w:t>项目报价总价</w:t>
            </w:r>
          </w:p>
        </w:tc>
        <w:tc>
          <w:tcPr>
            <w:tcW w:w="6840" w:type="dxa"/>
            <w:tcBorders>
              <w:bottom w:val="single" w:color="auto" w:sz="2" w:space="0"/>
            </w:tcBorders>
            <w:vAlign w:val="center"/>
          </w:tcPr>
          <w:p>
            <w:pPr>
              <w:adjustRightInd w:val="0"/>
              <w:snapToGrid w:val="0"/>
              <w:spacing w:before="240" w:beforeLines="100" w:after="120" w:afterLines="50"/>
              <w:rPr>
                <w:rFonts w:ascii="宋体" w:hAnsi="宋体"/>
                <w:bCs/>
                <w:color w:val="000000"/>
                <w:sz w:val="24"/>
              </w:rPr>
            </w:pPr>
            <w:r>
              <w:rPr>
                <w:rFonts w:hint="eastAsia" w:ascii="宋体" w:hAnsi="宋体"/>
                <w:bCs/>
                <w:color w:val="000000"/>
                <w:sz w:val="24"/>
              </w:rPr>
              <w:t>大写：人民币</w:t>
            </w:r>
            <w:r>
              <w:rPr>
                <w:rFonts w:hint="eastAsia" w:ascii="宋体" w:hAnsi="宋体"/>
                <w:bCs/>
                <w:color w:val="000000"/>
                <w:sz w:val="24"/>
                <w:u w:val="single"/>
              </w:rPr>
              <w:t xml:space="preserve">  　　　　 </w:t>
            </w:r>
            <w:r>
              <w:rPr>
                <w:rFonts w:hint="eastAsia" w:ascii="宋体" w:hAnsi="宋体"/>
                <w:bCs/>
                <w:color w:val="000000"/>
                <w:sz w:val="24"/>
              </w:rPr>
              <w:t>元</w:t>
            </w:r>
          </w:p>
          <w:p>
            <w:pPr>
              <w:adjustRightInd w:val="0"/>
              <w:snapToGrid w:val="0"/>
              <w:spacing w:before="120" w:beforeLines="50" w:after="120" w:afterLines="50"/>
              <w:rPr>
                <w:rFonts w:ascii="宋体" w:hAnsi="宋体"/>
                <w:bCs/>
                <w:color w:val="000000"/>
                <w:sz w:val="24"/>
              </w:rPr>
            </w:pPr>
            <w:r>
              <w:rPr>
                <w:rFonts w:hint="eastAsia" w:ascii="宋体" w:hAnsi="宋体"/>
                <w:bCs/>
                <w:color w:val="000000"/>
                <w:sz w:val="24"/>
              </w:rPr>
              <w:t>小写：￥</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980" w:type="dxa"/>
            <w:vAlign w:val="center"/>
          </w:tcPr>
          <w:p>
            <w:pPr>
              <w:jc w:val="center"/>
              <w:rPr>
                <w:rFonts w:ascii="宋体" w:hAnsi="宋体"/>
                <w:color w:val="000000"/>
                <w:sz w:val="24"/>
              </w:rPr>
            </w:pPr>
            <w:r>
              <w:rPr>
                <w:rFonts w:hint="eastAsia" w:ascii="宋体" w:hAnsi="宋体"/>
                <w:color w:val="000000"/>
                <w:sz w:val="24"/>
                <w:szCs w:val="24"/>
                <w:lang w:val="zh-CN"/>
              </w:rPr>
              <w:t>服务期限</w:t>
            </w:r>
          </w:p>
        </w:tc>
        <w:tc>
          <w:tcPr>
            <w:tcW w:w="6840" w:type="dxa"/>
            <w:vAlign w:val="center"/>
          </w:tcPr>
          <w:p>
            <w:pPr>
              <w:jc w:val="left"/>
              <w:rPr>
                <w:rFonts w:ascii="宋体" w:hAnsi="宋体"/>
                <w:color w:val="000000"/>
                <w:sz w:val="24"/>
              </w:rPr>
            </w:pPr>
            <w:r>
              <w:rPr>
                <w:rFonts w:hint="eastAsia" w:ascii="宋体" w:hAnsi="宋体"/>
                <w:color w:val="000000"/>
                <w:sz w:val="24"/>
                <w:szCs w:val="24"/>
                <w:lang w:val="zh-CN"/>
              </w:rPr>
              <w:t>本项目服务期限自</w:t>
            </w:r>
            <w:r>
              <w:rPr>
                <w:rFonts w:hint="eastAsia" w:ascii="宋体" w:hAnsi="宋体"/>
                <w:color w:val="000000"/>
                <w:sz w:val="24"/>
              </w:rPr>
              <w:t>合同签订生效之日起一年。</w:t>
            </w:r>
          </w:p>
        </w:tc>
      </w:tr>
    </w:tbl>
    <w:p>
      <w:pPr>
        <w:tabs>
          <w:tab w:val="left" w:pos="7740"/>
        </w:tabs>
        <w:spacing w:line="360" w:lineRule="auto"/>
        <w:rPr>
          <w:rFonts w:ascii="宋体" w:hAnsi="宋体"/>
          <w:color w:val="000000"/>
          <w:sz w:val="24"/>
        </w:rPr>
      </w:pPr>
    </w:p>
    <w:p>
      <w:pPr>
        <w:tabs>
          <w:tab w:val="left" w:pos="7740"/>
        </w:tabs>
        <w:spacing w:line="360" w:lineRule="auto"/>
        <w:rPr>
          <w:rFonts w:ascii="宋体" w:hAnsi="宋体"/>
          <w:b/>
          <w:color w:val="000000"/>
          <w:sz w:val="24"/>
        </w:rPr>
      </w:pPr>
      <w:r>
        <w:rPr>
          <w:rFonts w:hint="eastAsia" w:ascii="宋体" w:hAnsi="宋体"/>
          <w:b/>
          <w:color w:val="000000"/>
          <w:sz w:val="24"/>
        </w:rPr>
        <w:t>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1、报价人须按要求填写所有信息，不得随意更改本表格式。</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2、所有价格均应予人民币报价，金额单位为元。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3、报价表述限于选用中文大写或阿拉伯数字小写，均已核定准确无误。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4、报价被视为报价人的最后报价或成交价，应为按采购要求完成本项目的一切费用之和。</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5、报价不能超出采购预算价，超出的报价为无效报价。</w:t>
      </w:r>
    </w:p>
    <w:p>
      <w:pPr>
        <w:adjustRightInd w:val="0"/>
        <w:snapToGrid w:val="0"/>
        <w:spacing w:line="360" w:lineRule="auto"/>
        <w:ind w:firstLine="482" w:firstLineChars="200"/>
        <w:rPr>
          <w:rFonts w:ascii="宋体" w:hAnsi="宋体"/>
          <w:b/>
          <w:color w:val="000000"/>
          <w:sz w:val="24"/>
        </w:rPr>
      </w:pPr>
      <w:r>
        <w:rPr>
          <w:rFonts w:hint="eastAsia" w:ascii="宋体" w:hAnsi="宋体"/>
          <w:b/>
          <w:color w:val="000000"/>
          <w:sz w:val="24"/>
        </w:rPr>
        <w:t>6、此表是报价文件的必要文件，是报价文件的组成部分。</w:t>
      </w:r>
    </w:p>
    <w:p>
      <w:pPr>
        <w:adjustRightInd w:val="0"/>
        <w:snapToGrid w:val="0"/>
        <w:spacing w:line="360" w:lineRule="auto"/>
        <w:ind w:firstLine="600" w:firstLineChars="250"/>
        <w:rPr>
          <w:rFonts w:ascii="宋体" w:hAnsi="宋体"/>
          <w:color w:val="000000"/>
          <w:sz w:val="24"/>
        </w:rPr>
      </w:pPr>
    </w:p>
    <w:p>
      <w:pPr>
        <w:adjustRightInd w:val="0"/>
        <w:snapToGrid w:val="0"/>
        <w:spacing w:line="360" w:lineRule="auto"/>
        <w:ind w:firstLine="600" w:firstLineChars="250"/>
        <w:rPr>
          <w:rFonts w:ascii="宋体" w:hAnsi="宋体"/>
          <w:color w:val="000000"/>
          <w:sz w:val="24"/>
        </w:rPr>
      </w:pPr>
    </w:p>
    <w:bookmarkEnd w:id="40"/>
    <w:bookmarkEnd w:id="41"/>
    <w:bookmarkEnd w:id="42"/>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法定代表</w:t>
      </w:r>
      <w:r>
        <w:rPr>
          <w:rFonts w:hint="eastAsia" w:ascii="宋体" w:hAnsi="宋体"/>
          <w:color w:val="000000"/>
          <w:sz w:val="24"/>
          <w:szCs w:val="24"/>
        </w:rPr>
        <w:t>/负责</w:t>
      </w:r>
      <w:r>
        <w:rPr>
          <w:rFonts w:hint="eastAsia" w:ascii="宋体" w:hAnsi="宋体"/>
          <w:color w:val="000000"/>
          <w:sz w:val="24"/>
        </w:rPr>
        <w:t>人（或法定代表</w:t>
      </w:r>
      <w:r>
        <w:rPr>
          <w:rFonts w:hint="eastAsia" w:ascii="宋体" w:hAnsi="宋体"/>
          <w:color w:val="000000"/>
          <w:sz w:val="24"/>
          <w:szCs w:val="24"/>
        </w:rPr>
        <w:t>/负责</w:t>
      </w:r>
      <w:r>
        <w:rPr>
          <w:rFonts w:hint="eastAsia" w:ascii="宋体" w:hAnsi="宋体"/>
          <w:color w:val="000000"/>
          <w:sz w:val="24"/>
        </w:rPr>
        <w:t>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spacing w:line="360" w:lineRule="auto"/>
        <w:rPr>
          <w:b/>
          <w:color w:val="000000"/>
          <w:lang w:val="en-GB"/>
        </w:rPr>
      </w:pPr>
    </w:p>
    <w:sectPr>
      <w:headerReference r:id="rId9" w:type="first"/>
      <w:footerReference r:id="rId10" w:type="first"/>
      <w:pgSz w:w="11906" w:h="16838"/>
      <w:pgMar w:top="1304" w:right="1588" w:bottom="1418" w:left="1588" w:header="851" w:footer="964"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LucidaSans">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2"/>
      </w:rPr>
      <w:fldChar w:fldCharType="begin"/>
    </w:r>
    <w:r>
      <w:rPr>
        <w:rStyle w:val="42"/>
      </w:rPr>
      <w:instrText xml:space="preserve"> PAGE </w:instrText>
    </w:r>
    <w:r>
      <w:rPr>
        <w:rStyle w:val="42"/>
      </w:rPr>
      <w:fldChar w:fldCharType="separate"/>
    </w:r>
    <w:r>
      <w:rPr>
        <w:rStyle w:val="42"/>
      </w:rPr>
      <w:t>21</w:t>
    </w:r>
    <w:r>
      <w:rPr>
        <w:rStyle w:val="4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28</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cente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color w:val="000000"/>
        <w:u w:val="single"/>
      </w:rPr>
    </w:pPr>
    <w:r>
      <w:rPr>
        <w:rFonts w:hint="eastAsia" w:ascii="宋体" w:hAnsi="宋体"/>
        <w:color w:val="000000"/>
        <w:u w:val="single"/>
      </w:rPr>
      <w:t xml:space="preserve">  台山市人民法院2023年辅助送达服务采购项目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color w:val="000000"/>
        <w:u w:val="single"/>
      </w:rPr>
    </w:pPr>
    <w:r>
      <w:rPr>
        <w:rFonts w:hint="eastAsia" w:ascii="宋体" w:hAnsi="宋体"/>
        <w:color w:val="000000"/>
        <w:u w:val="single"/>
      </w:rPr>
      <w:t xml:space="preserve"> 台山市人民法院2023年辅助送达服务采购项目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4</w:t>
    </w:r>
    <w:r>
      <w:rPr>
        <w:rFonts w:hint="eastAsia" w:ascii="宋体" w:hAnsi="宋体"/>
        <w:bCs/>
        <w:color w:val="000000"/>
        <w:u w:val="single"/>
      </w:rPr>
      <w:t xml:space="preserve"> </w:t>
    </w:r>
  </w:p>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r>
      <w:rPr>
        <w:rFonts w:hint="eastAsia" w:ascii="宋体" w:hAnsi="宋体"/>
        <w:color w:val="000000"/>
        <w:u w:val="single"/>
      </w:rPr>
      <w:t xml:space="preserve"> 台山市人民法院2023年辅助送达服务采购项目     　                          </w:t>
    </w:r>
    <w:r>
      <w:rPr>
        <w:rFonts w:hint="eastAsia" w:ascii="宋体" w:hAnsi="宋体"/>
        <w:color w:val="000000"/>
        <w:u w:val="single"/>
        <w:lang w:val="zh-CN"/>
      </w:rPr>
      <w:t>项目编号：</w:t>
    </w:r>
    <w:r>
      <w:rPr>
        <w:rFonts w:ascii="宋体" w:hAnsi="宋体"/>
        <w:color w:val="000000"/>
        <w:u w:val="single"/>
      </w:rPr>
      <w:t>TSFY-202</w:t>
    </w:r>
    <w:r>
      <w:rPr>
        <w:rFonts w:hint="eastAsia" w:ascii="宋体" w:hAnsi="宋体"/>
        <w:color w:val="000000"/>
        <w:u w:val="single"/>
      </w:rPr>
      <w:t>3</w:t>
    </w:r>
    <w:r>
      <w:rPr>
        <w:rFonts w:ascii="宋体" w:hAnsi="宋体"/>
        <w:color w:val="000000"/>
        <w:u w:val="single"/>
      </w:rPr>
      <w:t>00</w:t>
    </w:r>
    <w:r>
      <w:rPr>
        <w:rFonts w:hint="eastAsia" w:ascii="宋体" w:hAnsi="宋体"/>
        <w:color w:val="000000"/>
        <w:u w:val="single"/>
      </w:rPr>
      <w:t>4</w:t>
    </w:r>
    <w:r>
      <w:rPr>
        <w:rFonts w:hint="eastAsia" w:ascii="宋体" w:hAnsi="宋体"/>
        <w:bCs/>
        <w:color w:val="00000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1">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chineseCountingThousand"/>
      <w:pStyle w:val="56"/>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59"/>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3">
    <w:nsid w:val="00000013"/>
    <w:multiLevelType w:val="multilevel"/>
    <w:tmpl w:val="00000013"/>
    <w:lvl w:ilvl="0" w:tentative="0">
      <w:start w:val="1"/>
      <w:numFmt w:val="chineseCountingThousand"/>
      <w:pStyle w:val="2"/>
      <w:suff w:val="space"/>
      <w:lvlText w:val="第%1部分"/>
      <w:lvlJc w:val="left"/>
      <w:pPr>
        <w:ind w:left="425" w:hanging="425"/>
      </w:pPr>
      <w:rPr>
        <w:rFonts w:hint="eastAsia" w:ascii="黑体" w:eastAsia="黑体"/>
        <w:sz w:val="24"/>
        <w:szCs w:val="24"/>
        <w:lang w:val="en-US"/>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pStyle w:val="5"/>
      <w:isLgl/>
      <w:suff w:val="space"/>
      <w:lvlText w:val="%4."/>
      <w:lvlJc w:val="left"/>
      <w:pPr>
        <w:ind w:left="0" w:firstLine="680"/>
      </w:pPr>
      <w:rPr>
        <w:rFonts w:hint="eastAsia" w:ascii="宋体" w:eastAsia="宋体"/>
        <w:sz w:val="28"/>
      </w:rPr>
    </w:lvl>
    <w:lvl w:ilvl="4" w:tentative="0">
      <w:start w:val="1"/>
      <w:numFmt w:val="decimal"/>
      <w:pStyle w:val="6"/>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NTZiNDgwZWNjNDE0N2FjNjQ1Yzk3MzNjODQ1OGIifQ=="/>
    <w:docVar w:name="报价一览表结束" w:val=" "/>
    <w:docVar w:name="报价一览表开始" w:val=" "/>
    <w:docVar w:name="采购编号" w:val="FS812345X"/>
    <w:docVar w:name="当投标价格＜基准价格时" w:val=" "/>
    <w:docVar w:name="当投标价格=基准价格时" w:val=" "/>
    <w:docVar w:name="当投标价格＞基准价格时" w:val=" "/>
    <w:docVar w:name="基准价格" w:val=" "/>
    <w:docVar w:name="技术方案结束" w:val=" "/>
    <w:docVar w:name="技术方案开始" w:val=" "/>
    <w:docVar w:name="技术要求结束" w:val=" "/>
    <w:docVar w:name="技术要求开始" w:val=" "/>
    <w:docVar w:name="评审方法结束" w:val=" "/>
    <w:docVar w:name="评审方法开始" w:val=" "/>
    <w:docVar w:name="商务条款响应表结束" w:val=" "/>
    <w:docVar w:name="商务条款响应表开始" w:val=" "/>
    <w:docVar w:name="商务要求结束" w:val=" "/>
    <w:docVar w:name="商务要求开始" w:val=" "/>
    <w:docVar w:name="设备技术响应表结束" w:val=" "/>
    <w:docVar w:name="设备技术响应表开始" w:val=" "/>
    <w:docVar w:name="审核确认表结束" w:val=" "/>
    <w:docVar w:name="审核确认表开始" w:val=" "/>
    <w:docVar w:name="投标须知结束" w:val=" "/>
    <w:docVar w:name="投标须知开始" w:val=" "/>
    <w:docVar w:name="投标邀请结束" w:val=" "/>
    <w:docVar w:name="投标邀请开始" w:val=" "/>
    <w:docVar w:name="详细报价清单结束" w:val=" "/>
    <w:docVar w:name="详细报价清单开始" w:val=" "/>
    <w:docVar w:name="项目名称" w:val="佛山市体育运动学校学生宿舍空调"/>
    <w:docVar w:name="资质要求结束" w:val=" "/>
    <w:docVar w:name="资质要求开始" w:val=" "/>
    <w:docVar w:name="组织实施方案结束" w:val=" "/>
    <w:docVar w:name="组织实施方案开始" w:val=" "/>
  </w:docVars>
  <w:rsids>
    <w:rsidRoot w:val="00172A27"/>
    <w:rsid w:val="000011F5"/>
    <w:rsid w:val="00001DA7"/>
    <w:rsid w:val="00003424"/>
    <w:rsid w:val="00005082"/>
    <w:rsid w:val="000053A5"/>
    <w:rsid w:val="00007A70"/>
    <w:rsid w:val="00007A9C"/>
    <w:rsid w:val="00007FAA"/>
    <w:rsid w:val="00013D2B"/>
    <w:rsid w:val="00016F95"/>
    <w:rsid w:val="000208AF"/>
    <w:rsid w:val="00021B59"/>
    <w:rsid w:val="00022000"/>
    <w:rsid w:val="000222BE"/>
    <w:rsid w:val="000245A8"/>
    <w:rsid w:val="00027C83"/>
    <w:rsid w:val="0003051C"/>
    <w:rsid w:val="0003627E"/>
    <w:rsid w:val="00036D2C"/>
    <w:rsid w:val="0004068E"/>
    <w:rsid w:val="00041EF4"/>
    <w:rsid w:val="00042F9F"/>
    <w:rsid w:val="00043C6A"/>
    <w:rsid w:val="00047672"/>
    <w:rsid w:val="00051907"/>
    <w:rsid w:val="000525DD"/>
    <w:rsid w:val="0007120C"/>
    <w:rsid w:val="00072DEA"/>
    <w:rsid w:val="0007441B"/>
    <w:rsid w:val="00074769"/>
    <w:rsid w:val="00075751"/>
    <w:rsid w:val="0007644B"/>
    <w:rsid w:val="000768FA"/>
    <w:rsid w:val="0007746D"/>
    <w:rsid w:val="00077F14"/>
    <w:rsid w:val="000822BE"/>
    <w:rsid w:val="00087C66"/>
    <w:rsid w:val="00091F48"/>
    <w:rsid w:val="00092A24"/>
    <w:rsid w:val="000936BC"/>
    <w:rsid w:val="0009402E"/>
    <w:rsid w:val="00094968"/>
    <w:rsid w:val="00097880"/>
    <w:rsid w:val="000A10D6"/>
    <w:rsid w:val="000A347B"/>
    <w:rsid w:val="000A3DBD"/>
    <w:rsid w:val="000A4D07"/>
    <w:rsid w:val="000A6C17"/>
    <w:rsid w:val="000A7372"/>
    <w:rsid w:val="000B2158"/>
    <w:rsid w:val="000C25B1"/>
    <w:rsid w:val="000C5CB8"/>
    <w:rsid w:val="000C7764"/>
    <w:rsid w:val="000D32E1"/>
    <w:rsid w:val="000D6320"/>
    <w:rsid w:val="000D7AD5"/>
    <w:rsid w:val="000E0594"/>
    <w:rsid w:val="000E4A4C"/>
    <w:rsid w:val="000E4A82"/>
    <w:rsid w:val="000E5438"/>
    <w:rsid w:val="000E60B2"/>
    <w:rsid w:val="000E6F75"/>
    <w:rsid w:val="000E7A2A"/>
    <w:rsid w:val="000F27DF"/>
    <w:rsid w:val="000F5662"/>
    <w:rsid w:val="000F5ED5"/>
    <w:rsid w:val="0010005D"/>
    <w:rsid w:val="001012E7"/>
    <w:rsid w:val="00101D02"/>
    <w:rsid w:val="001044EC"/>
    <w:rsid w:val="00105331"/>
    <w:rsid w:val="00105B2E"/>
    <w:rsid w:val="00106027"/>
    <w:rsid w:val="0010662F"/>
    <w:rsid w:val="001073F2"/>
    <w:rsid w:val="0011159F"/>
    <w:rsid w:val="00111CBD"/>
    <w:rsid w:val="001170E4"/>
    <w:rsid w:val="00117226"/>
    <w:rsid w:val="00120A81"/>
    <w:rsid w:val="001224E6"/>
    <w:rsid w:val="00122DBC"/>
    <w:rsid w:val="00123507"/>
    <w:rsid w:val="00124949"/>
    <w:rsid w:val="00125C6C"/>
    <w:rsid w:val="00126FC4"/>
    <w:rsid w:val="001311F5"/>
    <w:rsid w:val="00131CCD"/>
    <w:rsid w:val="00135E36"/>
    <w:rsid w:val="0014098C"/>
    <w:rsid w:val="001415A8"/>
    <w:rsid w:val="001445C4"/>
    <w:rsid w:val="00144F88"/>
    <w:rsid w:val="00147552"/>
    <w:rsid w:val="0015270E"/>
    <w:rsid w:val="00153800"/>
    <w:rsid w:val="00154040"/>
    <w:rsid w:val="001543F3"/>
    <w:rsid w:val="001552A9"/>
    <w:rsid w:val="001564A0"/>
    <w:rsid w:val="0015775E"/>
    <w:rsid w:val="00162C68"/>
    <w:rsid w:val="00162E0D"/>
    <w:rsid w:val="0016307D"/>
    <w:rsid w:val="00163EDB"/>
    <w:rsid w:val="0016574B"/>
    <w:rsid w:val="00166791"/>
    <w:rsid w:val="0016741A"/>
    <w:rsid w:val="00171B92"/>
    <w:rsid w:val="001721E3"/>
    <w:rsid w:val="00172A27"/>
    <w:rsid w:val="00175ECB"/>
    <w:rsid w:val="00177230"/>
    <w:rsid w:val="00177C7F"/>
    <w:rsid w:val="001833F9"/>
    <w:rsid w:val="00186036"/>
    <w:rsid w:val="00192AA4"/>
    <w:rsid w:val="0019527F"/>
    <w:rsid w:val="001A0DC1"/>
    <w:rsid w:val="001A3584"/>
    <w:rsid w:val="001A5294"/>
    <w:rsid w:val="001A5431"/>
    <w:rsid w:val="001A7D8F"/>
    <w:rsid w:val="001B0748"/>
    <w:rsid w:val="001B2708"/>
    <w:rsid w:val="001C5D0F"/>
    <w:rsid w:val="001C5F8C"/>
    <w:rsid w:val="001C766C"/>
    <w:rsid w:val="001D0271"/>
    <w:rsid w:val="001D257B"/>
    <w:rsid w:val="001D4520"/>
    <w:rsid w:val="001D5289"/>
    <w:rsid w:val="001D53DF"/>
    <w:rsid w:val="001D697A"/>
    <w:rsid w:val="001E1CA7"/>
    <w:rsid w:val="001E3399"/>
    <w:rsid w:val="001E35C3"/>
    <w:rsid w:val="001F599C"/>
    <w:rsid w:val="001F66A3"/>
    <w:rsid w:val="002024AF"/>
    <w:rsid w:val="00207191"/>
    <w:rsid w:val="0021038E"/>
    <w:rsid w:val="0021095B"/>
    <w:rsid w:val="00212601"/>
    <w:rsid w:val="00215B13"/>
    <w:rsid w:val="002160DC"/>
    <w:rsid w:val="0021617A"/>
    <w:rsid w:val="0021769F"/>
    <w:rsid w:val="00217CEC"/>
    <w:rsid w:val="0022069F"/>
    <w:rsid w:val="002210A6"/>
    <w:rsid w:val="002219D1"/>
    <w:rsid w:val="002237DC"/>
    <w:rsid w:val="00225013"/>
    <w:rsid w:val="00225421"/>
    <w:rsid w:val="00225A6A"/>
    <w:rsid w:val="00227092"/>
    <w:rsid w:val="00232113"/>
    <w:rsid w:val="00236382"/>
    <w:rsid w:val="00236D4B"/>
    <w:rsid w:val="002405A1"/>
    <w:rsid w:val="00243280"/>
    <w:rsid w:val="0024666A"/>
    <w:rsid w:val="002518FB"/>
    <w:rsid w:val="00252D5E"/>
    <w:rsid w:val="00253BC0"/>
    <w:rsid w:val="0025416B"/>
    <w:rsid w:val="002549CC"/>
    <w:rsid w:val="00256F5B"/>
    <w:rsid w:val="00257BBF"/>
    <w:rsid w:val="00261F39"/>
    <w:rsid w:val="00263BAD"/>
    <w:rsid w:val="0026407C"/>
    <w:rsid w:val="00266251"/>
    <w:rsid w:val="00266902"/>
    <w:rsid w:val="00267098"/>
    <w:rsid w:val="00270A50"/>
    <w:rsid w:val="00271361"/>
    <w:rsid w:val="00271C1C"/>
    <w:rsid w:val="00272C20"/>
    <w:rsid w:val="002757FD"/>
    <w:rsid w:val="002765A0"/>
    <w:rsid w:val="00280C89"/>
    <w:rsid w:val="00281E53"/>
    <w:rsid w:val="00283255"/>
    <w:rsid w:val="00292320"/>
    <w:rsid w:val="00293AD0"/>
    <w:rsid w:val="00293D6A"/>
    <w:rsid w:val="00296D88"/>
    <w:rsid w:val="00297AFF"/>
    <w:rsid w:val="002A1318"/>
    <w:rsid w:val="002A231F"/>
    <w:rsid w:val="002A62E1"/>
    <w:rsid w:val="002A6B44"/>
    <w:rsid w:val="002A75BA"/>
    <w:rsid w:val="002B1099"/>
    <w:rsid w:val="002B1804"/>
    <w:rsid w:val="002B39B0"/>
    <w:rsid w:val="002B47E7"/>
    <w:rsid w:val="002B54D8"/>
    <w:rsid w:val="002C2482"/>
    <w:rsid w:val="002C730E"/>
    <w:rsid w:val="002D02B4"/>
    <w:rsid w:val="002D12C8"/>
    <w:rsid w:val="002D722C"/>
    <w:rsid w:val="002E43CD"/>
    <w:rsid w:val="002E7102"/>
    <w:rsid w:val="002F0E58"/>
    <w:rsid w:val="002F2DA5"/>
    <w:rsid w:val="002F484E"/>
    <w:rsid w:val="002F651D"/>
    <w:rsid w:val="002F6678"/>
    <w:rsid w:val="003051E6"/>
    <w:rsid w:val="003068D3"/>
    <w:rsid w:val="00306B61"/>
    <w:rsid w:val="00306C5F"/>
    <w:rsid w:val="003122EF"/>
    <w:rsid w:val="0031367A"/>
    <w:rsid w:val="00314137"/>
    <w:rsid w:val="0031590E"/>
    <w:rsid w:val="00317FA7"/>
    <w:rsid w:val="003204E7"/>
    <w:rsid w:val="00322391"/>
    <w:rsid w:val="0032269F"/>
    <w:rsid w:val="00322D1C"/>
    <w:rsid w:val="00325ADB"/>
    <w:rsid w:val="00327107"/>
    <w:rsid w:val="00330FA5"/>
    <w:rsid w:val="003346EB"/>
    <w:rsid w:val="00336C5C"/>
    <w:rsid w:val="003419D5"/>
    <w:rsid w:val="00343B90"/>
    <w:rsid w:val="00345604"/>
    <w:rsid w:val="00346707"/>
    <w:rsid w:val="0035144A"/>
    <w:rsid w:val="00352E94"/>
    <w:rsid w:val="00356032"/>
    <w:rsid w:val="00356E9D"/>
    <w:rsid w:val="003621B9"/>
    <w:rsid w:val="00365158"/>
    <w:rsid w:val="003651E7"/>
    <w:rsid w:val="003679B7"/>
    <w:rsid w:val="003706B6"/>
    <w:rsid w:val="003707AF"/>
    <w:rsid w:val="0037126E"/>
    <w:rsid w:val="0037492A"/>
    <w:rsid w:val="00374BB5"/>
    <w:rsid w:val="00376856"/>
    <w:rsid w:val="00377644"/>
    <w:rsid w:val="00377A75"/>
    <w:rsid w:val="00381169"/>
    <w:rsid w:val="00381B94"/>
    <w:rsid w:val="00382943"/>
    <w:rsid w:val="00383A79"/>
    <w:rsid w:val="00386743"/>
    <w:rsid w:val="00390957"/>
    <w:rsid w:val="00390BE1"/>
    <w:rsid w:val="00391800"/>
    <w:rsid w:val="00391AC5"/>
    <w:rsid w:val="0039341B"/>
    <w:rsid w:val="00396AF2"/>
    <w:rsid w:val="003A28FB"/>
    <w:rsid w:val="003A2AED"/>
    <w:rsid w:val="003A46DE"/>
    <w:rsid w:val="003A536B"/>
    <w:rsid w:val="003A557B"/>
    <w:rsid w:val="003A616D"/>
    <w:rsid w:val="003A73EE"/>
    <w:rsid w:val="003B0D4E"/>
    <w:rsid w:val="003B19A2"/>
    <w:rsid w:val="003B1E10"/>
    <w:rsid w:val="003B2621"/>
    <w:rsid w:val="003B3D66"/>
    <w:rsid w:val="003B4F3A"/>
    <w:rsid w:val="003B7B69"/>
    <w:rsid w:val="003B7E00"/>
    <w:rsid w:val="003C75B5"/>
    <w:rsid w:val="003D0936"/>
    <w:rsid w:val="003D098A"/>
    <w:rsid w:val="003D28AB"/>
    <w:rsid w:val="003D7C9F"/>
    <w:rsid w:val="003E67A5"/>
    <w:rsid w:val="003E7D47"/>
    <w:rsid w:val="003F4BCE"/>
    <w:rsid w:val="00406E46"/>
    <w:rsid w:val="00407BAF"/>
    <w:rsid w:val="00411063"/>
    <w:rsid w:val="004157A0"/>
    <w:rsid w:val="00417C79"/>
    <w:rsid w:val="00423A1A"/>
    <w:rsid w:val="004304E6"/>
    <w:rsid w:val="004327FF"/>
    <w:rsid w:val="00433461"/>
    <w:rsid w:val="00434999"/>
    <w:rsid w:val="0044305F"/>
    <w:rsid w:val="00444AF3"/>
    <w:rsid w:val="0044544B"/>
    <w:rsid w:val="00445AFC"/>
    <w:rsid w:val="004474DA"/>
    <w:rsid w:val="00447E52"/>
    <w:rsid w:val="00450D1C"/>
    <w:rsid w:val="0045127E"/>
    <w:rsid w:val="00451479"/>
    <w:rsid w:val="00451B59"/>
    <w:rsid w:val="00451C8F"/>
    <w:rsid w:val="00453E8A"/>
    <w:rsid w:val="00453F26"/>
    <w:rsid w:val="00454759"/>
    <w:rsid w:val="00464AD9"/>
    <w:rsid w:val="00465517"/>
    <w:rsid w:val="004658A7"/>
    <w:rsid w:val="00471298"/>
    <w:rsid w:val="004715BC"/>
    <w:rsid w:val="00473111"/>
    <w:rsid w:val="00475A87"/>
    <w:rsid w:val="00476F17"/>
    <w:rsid w:val="00480BF2"/>
    <w:rsid w:val="00483493"/>
    <w:rsid w:val="00483721"/>
    <w:rsid w:val="00483770"/>
    <w:rsid w:val="00485A1D"/>
    <w:rsid w:val="00490B36"/>
    <w:rsid w:val="00492AAC"/>
    <w:rsid w:val="00494100"/>
    <w:rsid w:val="00495FD1"/>
    <w:rsid w:val="0049633F"/>
    <w:rsid w:val="00496426"/>
    <w:rsid w:val="004965C3"/>
    <w:rsid w:val="0049784D"/>
    <w:rsid w:val="004A5C6C"/>
    <w:rsid w:val="004A7A69"/>
    <w:rsid w:val="004B0B8D"/>
    <w:rsid w:val="004B78B2"/>
    <w:rsid w:val="004C0A88"/>
    <w:rsid w:val="004C35C0"/>
    <w:rsid w:val="004C7EEF"/>
    <w:rsid w:val="004D0051"/>
    <w:rsid w:val="004D2F02"/>
    <w:rsid w:val="004D58FD"/>
    <w:rsid w:val="004D5C8B"/>
    <w:rsid w:val="004D7670"/>
    <w:rsid w:val="004E1133"/>
    <w:rsid w:val="004E15FC"/>
    <w:rsid w:val="004E2629"/>
    <w:rsid w:val="004E7783"/>
    <w:rsid w:val="004F0D0F"/>
    <w:rsid w:val="004F2B3A"/>
    <w:rsid w:val="004F4487"/>
    <w:rsid w:val="004F5332"/>
    <w:rsid w:val="00500FC7"/>
    <w:rsid w:val="005019AA"/>
    <w:rsid w:val="00503709"/>
    <w:rsid w:val="00504E1C"/>
    <w:rsid w:val="0050591B"/>
    <w:rsid w:val="005130E9"/>
    <w:rsid w:val="00515140"/>
    <w:rsid w:val="00521096"/>
    <w:rsid w:val="0052456D"/>
    <w:rsid w:val="00525F17"/>
    <w:rsid w:val="00526536"/>
    <w:rsid w:val="00527B03"/>
    <w:rsid w:val="0053006D"/>
    <w:rsid w:val="00532874"/>
    <w:rsid w:val="005349D0"/>
    <w:rsid w:val="00536FD2"/>
    <w:rsid w:val="00537641"/>
    <w:rsid w:val="00542AE9"/>
    <w:rsid w:val="0054332D"/>
    <w:rsid w:val="0054374A"/>
    <w:rsid w:val="005437DA"/>
    <w:rsid w:val="00545D0A"/>
    <w:rsid w:val="00551180"/>
    <w:rsid w:val="00551641"/>
    <w:rsid w:val="00551D27"/>
    <w:rsid w:val="005531E9"/>
    <w:rsid w:val="0055386A"/>
    <w:rsid w:val="005544CE"/>
    <w:rsid w:val="00557180"/>
    <w:rsid w:val="00560C19"/>
    <w:rsid w:val="00562387"/>
    <w:rsid w:val="00567209"/>
    <w:rsid w:val="00570C1F"/>
    <w:rsid w:val="0057529D"/>
    <w:rsid w:val="0058030D"/>
    <w:rsid w:val="005803DF"/>
    <w:rsid w:val="005916DC"/>
    <w:rsid w:val="00591806"/>
    <w:rsid w:val="00592321"/>
    <w:rsid w:val="0059406A"/>
    <w:rsid w:val="00595060"/>
    <w:rsid w:val="00596AFB"/>
    <w:rsid w:val="005A22AE"/>
    <w:rsid w:val="005A4AEB"/>
    <w:rsid w:val="005A4E67"/>
    <w:rsid w:val="005A5809"/>
    <w:rsid w:val="005B4479"/>
    <w:rsid w:val="005B63BC"/>
    <w:rsid w:val="005C2BD4"/>
    <w:rsid w:val="005C66B2"/>
    <w:rsid w:val="005D21F5"/>
    <w:rsid w:val="005D58F7"/>
    <w:rsid w:val="005D62F4"/>
    <w:rsid w:val="005D6984"/>
    <w:rsid w:val="005E3525"/>
    <w:rsid w:val="005E3E75"/>
    <w:rsid w:val="005E50D6"/>
    <w:rsid w:val="005E759D"/>
    <w:rsid w:val="005E7B1C"/>
    <w:rsid w:val="005F3815"/>
    <w:rsid w:val="005F387B"/>
    <w:rsid w:val="005F42F0"/>
    <w:rsid w:val="005F5486"/>
    <w:rsid w:val="005F6072"/>
    <w:rsid w:val="005F76B7"/>
    <w:rsid w:val="0060025E"/>
    <w:rsid w:val="00601208"/>
    <w:rsid w:val="006012F5"/>
    <w:rsid w:val="00601ED8"/>
    <w:rsid w:val="006022C0"/>
    <w:rsid w:val="00602ACE"/>
    <w:rsid w:val="00603D7D"/>
    <w:rsid w:val="00604211"/>
    <w:rsid w:val="006044FE"/>
    <w:rsid w:val="00605ECE"/>
    <w:rsid w:val="006137A4"/>
    <w:rsid w:val="00614D50"/>
    <w:rsid w:val="00614ECF"/>
    <w:rsid w:val="006157A8"/>
    <w:rsid w:val="006166BF"/>
    <w:rsid w:val="006230C4"/>
    <w:rsid w:val="0062433E"/>
    <w:rsid w:val="006278EF"/>
    <w:rsid w:val="00631FED"/>
    <w:rsid w:val="006338EC"/>
    <w:rsid w:val="00633AF5"/>
    <w:rsid w:val="006371EA"/>
    <w:rsid w:val="00637F9E"/>
    <w:rsid w:val="00640A09"/>
    <w:rsid w:val="00641E25"/>
    <w:rsid w:val="0064240D"/>
    <w:rsid w:val="0064255E"/>
    <w:rsid w:val="0064255F"/>
    <w:rsid w:val="00647570"/>
    <w:rsid w:val="0064787F"/>
    <w:rsid w:val="006511D2"/>
    <w:rsid w:val="00655939"/>
    <w:rsid w:val="00655A1D"/>
    <w:rsid w:val="00655B27"/>
    <w:rsid w:val="00657DB2"/>
    <w:rsid w:val="00662A95"/>
    <w:rsid w:val="00671D66"/>
    <w:rsid w:val="006721B1"/>
    <w:rsid w:val="006724F6"/>
    <w:rsid w:val="00673361"/>
    <w:rsid w:val="0068012A"/>
    <w:rsid w:val="00681DA3"/>
    <w:rsid w:val="00682FA0"/>
    <w:rsid w:val="0068339A"/>
    <w:rsid w:val="006836A6"/>
    <w:rsid w:val="00684487"/>
    <w:rsid w:val="00687767"/>
    <w:rsid w:val="006925B1"/>
    <w:rsid w:val="00692BD9"/>
    <w:rsid w:val="006960A4"/>
    <w:rsid w:val="006A02EF"/>
    <w:rsid w:val="006A1187"/>
    <w:rsid w:val="006A1792"/>
    <w:rsid w:val="006A303A"/>
    <w:rsid w:val="006A4164"/>
    <w:rsid w:val="006A44B4"/>
    <w:rsid w:val="006B2DA6"/>
    <w:rsid w:val="006B55DF"/>
    <w:rsid w:val="006B623B"/>
    <w:rsid w:val="006B70A7"/>
    <w:rsid w:val="006C06C5"/>
    <w:rsid w:val="006C0866"/>
    <w:rsid w:val="006C10E6"/>
    <w:rsid w:val="006C4E1E"/>
    <w:rsid w:val="006C62A6"/>
    <w:rsid w:val="006C6BC7"/>
    <w:rsid w:val="006C6C04"/>
    <w:rsid w:val="006C7D5E"/>
    <w:rsid w:val="006D04D5"/>
    <w:rsid w:val="006D237F"/>
    <w:rsid w:val="006D314A"/>
    <w:rsid w:val="006E2E34"/>
    <w:rsid w:val="006F1D7F"/>
    <w:rsid w:val="006F2958"/>
    <w:rsid w:val="006F2D21"/>
    <w:rsid w:val="006F3F70"/>
    <w:rsid w:val="006F6098"/>
    <w:rsid w:val="006F62E8"/>
    <w:rsid w:val="00700657"/>
    <w:rsid w:val="00701E4B"/>
    <w:rsid w:val="00704EEC"/>
    <w:rsid w:val="00711F29"/>
    <w:rsid w:val="007123FA"/>
    <w:rsid w:val="00715C26"/>
    <w:rsid w:val="00715D5A"/>
    <w:rsid w:val="007179A8"/>
    <w:rsid w:val="00721CAC"/>
    <w:rsid w:val="00722213"/>
    <w:rsid w:val="00722DA6"/>
    <w:rsid w:val="00723C39"/>
    <w:rsid w:val="0072463B"/>
    <w:rsid w:val="0072475F"/>
    <w:rsid w:val="00725336"/>
    <w:rsid w:val="00727461"/>
    <w:rsid w:val="00727626"/>
    <w:rsid w:val="007279CD"/>
    <w:rsid w:val="007309DA"/>
    <w:rsid w:val="00731590"/>
    <w:rsid w:val="00733D1D"/>
    <w:rsid w:val="00733F3E"/>
    <w:rsid w:val="00734AE4"/>
    <w:rsid w:val="00734B0C"/>
    <w:rsid w:val="00741595"/>
    <w:rsid w:val="00742AFB"/>
    <w:rsid w:val="00743CCF"/>
    <w:rsid w:val="00745481"/>
    <w:rsid w:val="00747D37"/>
    <w:rsid w:val="0075040E"/>
    <w:rsid w:val="00750A6D"/>
    <w:rsid w:val="00753DE3"/>
    <w:rsid w:val="00753DF6"/>
    <w:rsid w:val="00754B59"/>
    <w:rsid w:val="00754C00"/>
    <w:rsid w:val="00757E28"/>
    <w:rsid w:val="00760384"/>
    <w:rsid w:val="007618AD"/>
    <w:rsid w:val="00762CE7"/>
    <w:rsid w:val="0076383C"/>
    <w:rsid w:val="0076617A"/>
    <w:rsid w:val="0077008C"/>
    <w:rsid w:val="007720F7"/>
    <w:rsid w:val="0077587C"/>
    <w:rsid w:val="00776807"/>
    <w:rsid w:val="007772B4"/>
    <w:rsid w:val="00780C19"/>
    <w:rsid w:val="007877B5"/>
    <w:rsid w:val="007902EC"/>
    <w:rsid w:val="00790D72"/>
    <w:rsid w:val="00793ABE"/>
    <w:rsid w:val="007958CE"/>
    <w:rsid w:val="007A2A87"/>
    <w:rsid w:val="007A2F5E"/>
    <w:rsid w:val="007A38C6"/>
    <w:rsid w:val="007A7F58"/>
    <w:rsid w:val="007B067B"/>
    <w:rsid w:val="007B4EE3"/>
    <w:rsid w:val="007B4F4C"/>
    <w:rsid w:val="007B50DC"/>
    <w:rsid w:val="007C2AB8"/>
    <w:rsid w:val="007C531D"/>
    <w:rsid w:val="007D09AA"/>
    <w:rsid w:val="007D0BD3"/>
    <w:rsid w:val="007D18C5"/>
    <w:rsid w:val="007D1BC3"/>
    <w:rsid w:val="007D1BCF"/>
    <w:rsid w:val="007D2653"/>
    <w:rsid w:val="007D3162"/>
    <w:rsid w:val="007D398B"/>
    <w:rsid w:val="007D6439"/>
    <w:rsid w:val="007D7901"/>
    <w:rsid w:val="007E0404"/>
    <w:rsid w:val="007E057F"/>
    <w:rsid w:val="007E2229"/>
    <w:rsid w:val="007E31EF"/>
    <w:rsid w:val="007E6255"/>
    <w:rsid w:val="007E7485"/>
    <w:rsid w:val="007F0B5E"/>
    <w:rsid w:val="007F1646"/>
    <w:rsid w:val="007F3178"/>
    <w:rsid w:val="007F4385"/>
    <w:rsid w:val="007F5C43"/>
    <w:rsid w:val="007F5D12"/>
    <w:rsid w:val="007F6DE5"/>
    <w:rsid w:val="00800E2C"/>
    <w:rsid w:val="008010BD"/>
    <w:rsid w:val="00801C1C"/>
    <w:rsid w:val="0080231D"/>
    <w:rsid w:val="00810D06"/>
    <w:rsid w:val="0081444C"/>
    <w:rsid w:val="008172EC"/>
    <w:rsid w:val="00820078"/>
    <w:rsid w:val="0082018F"/>
    <w:rsid w:val="0082155D"/>
    <w:rsid w:val="00822419"/>
    <w:rsid w:val="00824608"/>
    <w:rsid w:val="0082565E"/>
    <w:rsid w:val="00827935"/>
    <w:rsid w:val="00831AD2"/>
    <w:rsid w:val="00831D93"/>
    <w:rsid w:val="00834AB8"/>
    <w:rsid w:val="00837C70"/>
    <w:rsid w:val="00843CEE"/>
    <w:rsid w:val="00844CD3"/>
    <w:rsid w:val="00845A3F"/>
    <w:rsid w:val="00851386"/>
    <w:rsid w:val="008519F9"/>
    <w:rsid w:val="00852609"/>
    <w:rsid w:val="00855161"/>
    <w:rsid w:val="008563AA"/>
    <w:rsid w:val="0085690C"/>
    <w:rsid w:val="00856C50"/>
    <w:rsid w:val="00857618"/>
    <w:rsid w:val="008614E4"/>
    <w:rsid w:val="0086167B"/>
    <w:rsid w:val="00861855"/>
    <w:rsid w:val="00864577"/>
    <w:rsid w:val="00864EE6"/>
    <w:rsid w:val="0087009E"/>
    <w:rsid w:val="008702FB"/>
    <w:rsid w:val="00873AA1"/>
    <w:rsid w:val="0087620A"/>
    <w:rsid w:val="00877BDE"/>
    <w:rsid w:val="008830B9"/>
    <w:rsid w:val="00884AC0"/>
    <w:rsid w:val="008850D2"/>
    <w:rsid w:val="00885E79"/>
    <w:rsid w:val="00886708"/>
    <w:rsid w:val="00886DC3"/>
    <w:rsid w:val="00893494"/>
    <w:rsid w:val="008972BC"/>
    <w:rsid w:val="00897649"/>
    <w:rsid w:val="008A739E"/>
    <w:rsid w:val="008A79A9"/>
    <w:rsid w:val="008B1138"/>
    <w:rsid w:val="008B5D05"/>
    <w:rsid w:val="008B5F2D"/>
    <w:rsid w:val="008B75EF"/>
    <w:rsid w:val="008B7ECE"/>
    <w:rsid w:val="008C1340"/>
    <w:rsid w:val="008C2138"/>
    <w:rsid w:val="008C4AAF"/>
    <w:rsid w:val="008C53F2"/>
    <w:rsid w:val="008C702D"/>
    <w:rsid w:val="008C7DB1"/>
    <w:rsid w:val="008D06AB"/>
    <w:rsid w:val="008D0D8B"/>
    <w:rsid w:val="008D2793"/>
    <w:rsid w:val="008D29A6"/>
    <w:rsid w:val="008D330C"/>
    <w:rsid w:val="008D5971"/>
    <w:rsid w:val="008D6488"/>
    <w:rsid w:val="008E0BAC"/>
    <w:rsid w:val="008E3565"/>
    <w:rsid w:val="008E3930"/>
    <w:rsid w:val="008E4E59"/>
    <w:rsid w:val="008F304A"/>
    <w:rsid w:val="008F335B"/>
    <w:rsid w:val="008F428B"/>
    <w:rsid w:val="008F4A31"/>
    <w:rsid w:val="008F4E7E"/>
    <w:rsid w:val="008F69F2"/>
    <w:rsid w:val="008F71E2"/>
    <w:rsid w:val="008F7617"/>
    <w:rsid w:val="008F7D38"/>
    <w:rsid w:val="00900A7C"/>
    <w:rsid w:val="00902299"/>
    <w:rsid w:val="0090236B"/>
    <w:rsid w:val="00906725"/>
    <w:rsid w:val="009071D4"/>
    <w:rsid w:val="00911404"/>
    <w:rsid w:val="009121E4"/>
    <w:rsid w:val="009135A6"/>
    <w:rsid w:val="00915758"/>
    <w:rsid w:val="00916240"/>
    <w:rsid w:val="00917297"/>
    <w:rsid w:val="0092260B"/>
    <w:rsid w:val="00924050"/>
    <w:rsid w:val="00925E07"/>
    <w:rsid w:val="00926360"/>
    <w:rsid w:val="009263CB"/>
    <w:rsid w:val="0092750B"/>
    <w:rsid w:val="00932F6C"/>
    <w:rsid w:val="00934830"/>
    <w:rsid w:val="00934E7F"/>
    <w:rsid w:val="0093515F"/>
    <w:rsid w:val="009376B9"/>
    <w:rsid w:val="00941C0C"/>
    <w:rsid w:val="00944532"/>
    <w:rsid w:val="009452C6"/>
    <w:rsid w:val="009502AE"/>
    <w:rsid w:val="00955DE0"/>
    <w:rsid w:val="00955E66"/>
    <w:rsid w:val="00957342"/>
    <w:rsid w:val="00960E72"/>
    <w:rsid w:val="00961B42"/>
    <w:rsid w:val="009621C1"/>
    <w:rsid w:val="00962A4C"/>
    <w:rsid w:val="009647AC"/>
    <w:rsid w:val="0096535E"/>
    <w:rsid w:val="00966AE2"/>
    <w:rsid w:val="00967361"/>
    <w:rsid w:val="0097641F"/>
    <w:rsid w:val="0098352F"/>
    <w:rsid w:val="00985009"/>
    <w:rsid w:val="00990078"/>
    <w:rsid w:val="00991B5B"/>
    <w:rsid w:val="00994B96"/>
    <w:rsid w:val="00997237"/>
    <w:rsid w:val="009A23E5"/>
    <w:rsid w:val="009A392E"/>
    <w:rsid w:val="009A41A1"/>
    <w:rsid w:val="009A6EA9"/>
    <w:rsid w:val="009A71FA"/>
    <w:rsid w:val="009A7A1D"/>
    <w:rsid w:val="009B12C1"/>
    <w:rsid w:val="009B1FB2"/>
    <w:rsid w:val="009B22DF"/>
    <w:rsid w:val="009B281A"/>
    <w:rsid w:val="009B4143"/>
    <w:rsid w:val="009B6050"/>
    <w:rsid w:val="009B6B33"/>
    <w:rsid w:val="009C2CF2"/>
    <w:rsid w:val="009C3F65"/>
    <w:rsid w:val="009C460E"/>
    <w:rsid w:val="009C4FDB"/>
    <w:rsid w:val="009D07FE"/>
    <w:rsid w:val="009D0CD6"/>
    <w:rsid w:val="009D32F3"/>
    <w:rsid w:val="009D4658"/>
    <w:rsid w:val="009D772C"/>
    <w:rsid w:val="009E09A2"/>
    <w:rsid w:val="009E4DE8"/>
    <w:rsid w:val="009E693D"/>
    <w:rsid w:val="009F1ECA"/>
    <w:rsid w:val="009F419A"/>
    <w:rsid w:val="009F798B"/>
    <w:rsid w:val="00A02FFC"/>
    <w:rsid w:val="00A062EF"/>
    <w:rsid w:val="00A06356"/>
    <w:rsid w:val="00A1000D"/>
    <w:rsid w:val="00A13DD7"/>
    <w:rsid w:val="00A146F6"/>
    <w:rsid w:val="00A14DD1"/>
    <w:rsid w:val="00A14E1B"/>
    <w:rsid w:val="00A16D63"/>
    <w:rsid w:val="00A17C5E"/>
    <w:rsid w:val="00A238D2"/>
    <w:rsid w:val="00A25EBC"/>
    <w:rsid w:val="00A2662A"/>
    <w:rsid w:val="00A27E92"/>
    <w:rsid w:val="00A300B2"/>
    <w:rsid w:val="00A31C89"/>
    <w:rsid w:val="00A3214D"/>
    <w:rsid w:val="00A329D7"/>
    <w:rsid w:val="00A354F9"/>
    <w:rsid w:val="00A36845"/>
    <w:rsid w:val="00A36D78"/>
    <w:rsid w:val="00A37583"/>
    <w:rsid w:val="00A40FF8"/>
    <w:rsid w:val="00A410F6"/>
    <w:rsid w:val="00A419A5"/>
    <w:rsid w:val="00A430CC"/>
    <w:rsid w:val="00A47CE9"/>
    <w:rsid w:val="00A502E6"/>
    <w:rsid w:val="00A51E85"/>
    <w:rsid w:val="00A51F8F"/>
    <w:rsid w:val="00A5291E"/>
    <w:rsid w:val="00A54565"/>
    <w:rsid w:val="00A60FE7"/>
    <w:rsid w:val="00A62896"/>
    <w:rsid w:val="00A647D8"/>
    <w:rsid w:val="00A674AF"/>
    <w:rsid w:val="00A6786E"/>
    <w:rsid w:val="00A70522"/>
    <w:rsid w:val="00A70D12"/>
    <w:rsid w:val="00A720EF"/>
    <w:rsid w:val="00A7457A"/>
    <w:rsid w:val="00A76407"/>
    <w:rsid w:val="00A80509"/>
    <w:rsid w:val="00A80CC6"/>
    <w:rsid w:val="00A820E5"/>
    <w:rsid w:val="00A82549"/>
    <w:rsid w:val="00A84E11"/>
    <w:rsid w:val="00A84F30"/>
    <w:rsid w:val="00A90ED2"/>
    <w:rsid w:val="00A92B15"/>
    <w:rsid w:val="00A930E9"/>
    <w:rsid w:val="00AA00B2"/>
    <w:rsid w:val="00AA1483"/>
    <w:rsid w:val="00AA4457"/>
    <w:rsid w:val="00AA611D"/>
    <w:rsid w:val="00AB03E2"/>
    <w:rsid w:val="00AB1A53"/>
    <w:rsid w:val="00AB2EB4"/>
    <w:rsid w:val="00AC0146"/>
    <w:rsid w:val="00AC694A"/>
    <w:rsid w:val="00AD1AE3"/>
    <w:rsid w:val="00AD362A"/>
    <w:rsid w:val="00AD5896"/>
    <w:rsid w:val="00AE014F"/>
    <w:rsid w:val="00AE0D00"/>
    <w:rsid w:val="00AE17D3"/>
    <w:rsid w:val="00AE301A"/>
    <w:rsid w:val="00AE63F3"/>
    <w:rsid w:val="00AF2C24"/>
    <w:rsid w:val="00AF69AE"/>
    <w:rsid w:val="00B0050F"/>
    <w:rsid w:val="00B011F6"/>
    <w:rsid w:val="00B052B2"/>
    <w:rsid w:val="00B1212E"/>
    <w:rsid w:val="00B1386B"/>
    <w:rsid w:val="00B1431B"/>
    <w:rsid w:val="00B219D7"/>
    <w:rsid w:val="00B23FD6"/>
    <w:rsid w:val="00B27986"/>
    <w:rsid w:val="00B30113"/>
    <w:rsid w:val="00B305CE"/>
    <w:rsid w:val="00B30893"/>
    <w:rsid w:val="00B3559B"/>
    <w:rsid w:val="00B40168"/>
    <w:rsid w:val="00B42BB4"/>
    <w:rsid w:val="00B43E2B"/>
    <w:rsid w:val="00B4405D"/>
    <w:rsid w:val="00B456A6"/>
    <w:rsid w:val="00B45A2D"/>
    <w:rsid w:val="00B4640E"/>
    <w:rsid w:val="00B4659F"/>
    <w:rsid w:val="00B47288"/>
    <w:rsid w:val="00B479DB"/>
    <w:rsid w:val="00B50A1F"/>
    <w:rsid w:val="00B522AB"/>
    <w:rsid w:val="00B52E94"/>
    <w:rsid w:val="00B5301D"/>
    <w:rsid w:val="00B55697"/>
    <w:rsid w:val="00B57E8E"/>
    <w:rsid w:val="00B61A93"/>
    <w:rsid w:val="00B62235"/>
    <w:rsid w:val="00B634D5"/>
    <w:rsid w:val="00B639C2"/>
    <w:rsid w:val="00B64459"/>
    <w:rsid w:val="00B646A0"/>
    <w:rsid w:val="00B67F0B"/>
    <w:rsid w:val="00B713B7"/>
    <w:rsid w:val="00B77365"/>
    <w:rsid w:val="00B8156B"/>
    <w:rsid w:val="00B819CA"/>
    <w:rsid w:val="00B840B9"/>
    <w:rsid w:val="00B8607D"/>
    <w:rsid w:val="00B92990"/>
    <w:rsid w:val="00B93799"/>
    <w:rsid w:val="00B94073"/>
    <w:rsid w:val="00B94CB5"/>
    <w:rsid w:val="00B960E0"/>
    <w:rsid w:val="00BA1215"/>
    <w:rsid w:val="00BA2CA8"/>
    <w:rsid w:val="00BA2E66"/>
    <w:rsid w:val="00BA321E"/>
    <w:rsid w:val="00BA35EA"/>
    <w:rsid w:val="00BA7D5E"/>
    <w:rsid w:val="00BA7DFF"/>
    <w:rsid w:val="00BB1282"/>
    <w:rsid w:val="00BB406A"/>
    <w:rsid w:val="00BB52A4"/>
    <w:rsid w:val="00BB55D0"/>
    <w:rsid w:val="00BB7208"/>
    <w:rsid w:val="00BC2525"/>
    <w:rsid w:val="00BC28B9"/>
    <w:rsid w:val="00BC2B3C"/>
    <w:rsid w:val="00BC5060"/>
    <w:rsid w:val="00BC5DDE"/>
    <w:rsid w:val="00BD4B71"/>
    <w:rsid w:val="00BD5BFC"/>
    <w:rsid w:val="00BD6748"/>
    <w:rsid w:val="00BD6A91"/>
    <w:rsid w:val="00BD6F7B"/>
    <w:rsid w:val="00BD7F82"/>
    <w:rsid w:val="00BE1501"/>
    <w:rsid w:val="00BE3030"/>
    <w:rsid w:val="00BE37E3"/>
    <w:rsid w:val="00BE5C03"/>
    <w:rsid w:val="00BE7AEF"/>
    <w:rsid w:val="00BF2DEA"/>
    <w:rsid w:val="00BF3B5D"/>
    <w:rsid w:val="00BF40EC"/>
    <w:rsid w:val="00BF4797"/>
    <w:rsid w:val="00BF5CA1"/>
    <w:rsid w:val="00BF5FEB"/>
    <w:rsid w:val="00BF6224"/>
    <w:rsid w:val="00BF6BD1"/>
    <w:rsid w:val="00C01827"/>
    <w:rsid w:val="00C01C98"/>
    <w:rsid w:val="00C05B4B"/>
    <w:rsid w:val="00C10830"/>
    <w:rsid w:val="00C1268E"/>
    <w:rsid w:val="00C14005"/>
    <w:rsid w:val="00C21477"/>
    <w:rsid w:val="00C235E8"/>
    <w:rsid w:val="00C237A6"/>
    <w:rsid w:val="00C26AC1"/>
    <w:rsid w:val="00C328AB"/>
    <w:rsid w:val="00C32FE1"/>
    <w:rsid w:val="00C33632"/>
    <w:rsid w:val="00C35F0D"/>
    <w:rsid w:val="00C42C56"/>
    <w:rsid w:val="00C437B9"/>
    <w:rsid w:val="00C44336"/>
    <w:rsid w:val="00C457EF"/>
    <w:rsid w:val="00C458AE"/>
    <w:rsid w:val="00C5130B"/>
    <w:rsid w:val="00C522CB"/>
    <w:rsid w:val="00C52B0D"/>
    <w:rsid w:val="00C538D1"/>
    <w:rsid w:val="00C53FA2"/>
    <w:rsid w:val="00C5552D"/>
    <w:rsid w:val="00C62E3D"/>
    <w:rsid w:val="00C64C85"/>
    <w:rsid w:val="00C662DC"/>
    <w:rsid w:val="00C676FC"/>
    <w:rsid w:val="00C730C4"/>
    <w:rsid w:val="00C761CF"/>
    <w:rsid w:val="00C843C5"/>
    <w:rsid w:val="00C861D6"/>
    <w:rsid w:val="00C876C0"/>
    <w:rsid w:val="00C94057"/>
    <w:rsid w:val="00CA1D3F"/>
    <w:rsid w:val="00CA4311"/>
    <w:rsid w:val="00CA4944"/>
    <w:rsid w:val="00CA6A37"/>
    <w:rsid w:val="00CA7844"/>
    <w:rsid w:val="00CC030E"/>
    <w:rsid w:val="00CC17E1"/>
    <w:rsid w:val="00CC180F"/>
    <w:rsid w:val="00CC3B1B"/>
    <w:rsid w:val="00CC4096"/>
    <w:rsid w:val="00CC4D9C"/>
    <w:rsid w:val="00CC73D1"/>
    <w:rsid w:val="00CD0922"/>
    <w:rsid w:val="00CD1474"/>
    <w:rsid w:val="00CD1EC6"/>
    <w:rsid w:val="00CD298D"/>
    <w:rsid w:val="00CD2C16"/>
    <w:rsid w:val="00CD3D56"/>
    <w:rsid w:val="00CD6100"/>
    <w:rsid w:val="00CD6BC5"/>
    <w:rsid w:val="00CE2958"/>
    <w:rsid w:val="00CE4AAA"/>
    <w:rsid w:val="00CE6321"/>
    <w:rsid w:val="00CE64C6"/>
    <w:rsid w:val="00CF0195"/>
    <w:rsid w:val="00CF0BDC"/>
    <w:rsid w:val="00CF3C10"/>
    <w:rsid w:val="00CF6FEC"/>
    <w:rsid w:val="00CF7DAB"/>
    <w:rsid w:val="00D0038B"/>
    <w:rsid w:val="00D00A06"/>
    <w:rsid w:val="00D00C4B"/>
    <w:rsid w:val="00D01720"/>
    <w:rsid w:val="00D0275C"/>
    <w:rsid w:val="00D02E1A"/>
    <w:rsid w:val="00D05036"/>
    <w:rsid w:val="00D053AB"/>
    <w:rsid w:val="00D06409"/>
    <w:rsid w:val="00D14736"/>
    <w:rsid w:val="00D157D0"/>
    <w:rsid w:val="00D17381"/>
    <w:rsid w:val="00D25174"/>
    <w:rsid w:val="00D25EF0"/>
    <w:rsid w:val="00D27304"/>
    <w:rsid w:val="00D27576"/>
    <w:rsid w:val="00D31D3B"/>
    <w:rsid w:val="00D32D40"/>
    <w:rsid w:val="00D33709"/>
    <w:rsid w:val="00D3466E"/>
    <w:rsid w:val="00D36E99"/>
    <w:rsid w:val="00D44FFD"/>
    <w:rsid w:val="00D46DE9"/>
    <w:rsid w:val="00D51B23"/>
    <w:rsid w:val="00D539A8"/>
    <w:rsid w:val="00D55770"/>
    <w:rsid w:val="00D55DD5"/>
    <w:rsid w:val="00D5650B"/>
    <w:rsid w:val="00D56B54"/>
    <w:rsid w:val="00D57C13"/>
    <w:rsid w:val="00D62286"/>
    <w:rsid w:val="00D628EE"/>
    <w:rsid w:val="00D6340E"/>
    <w:rsid w:val="00D63BC1"/>
    <w:rsid w:val="00D64CFA"/>
    <w:rsid w:val="00D65306"/>
    <w:rsid w:val="00D65C86"/>
    <w:rsid w:val="00D67147"/>
    <w:rsid w:val="00D71EE0"/>
    <w:rsid w:val="00D73095"/>
    <w:rsid w:val="00D75FCD"/>
    <w:rsid w:val="00D768EE"/>
    <w:rsid w:val="00D77851"/>
    <w:rsid w:val="00D77948"/>
    <w:rsid w:val="00D807D2"/>
    <w:rsid w:val="00D861A0"/>
    <w:rsid w:val="00D86F1A"/>
    <w:rsid w:val="00D92421"/>
    <w:rsid w:val="00D93C26"/>
    <w:rsid w:val="00D93D93"/>
    <w:rsid w:val="00D9412C"/>
    <w:rsid w:val="00D96B5E"/>
    <w:rsid w:val="00DA3727"/>
    <w:rsid w:val="00DA550C"/>
    <w:rsid w:val="00DA6B5D"/>
    <w:rsid w:val="00DA6C09"/>
    <w:rsid w:val="00DA7F1B"/>
    <w:rsid w:val="00DA7F2B"/>
    <w:rsid w:val="00DB2770"/>
    <w:rsid w:val="00DB3735"/>
    <w:rsid w:val="00DB3CA3"/>
    <w:rsid w:val="00DB6AAA"/>
    <w:rsid w:val="00DB6DCD"/>
    <w:rsid w:val="00DC16E2"/>
    <w:rsid w:val="00DC5041"/>
    <w:rsid w:val="00DC5716"/>
    <w:rsid w:val="00DC6029"/>
    <w:rsid w:val="00DC6456"/>
    <w:rsid w:val="00DC7C23"/>
    <w:rsid w:val="00DD1681"/>
    <w:rsid w:val="00DD2797"/>
    <w:rsid w:val="00DE0479"/>
    <w:rsid w:val="00DE0B9C"/>
    <w:rsid w:val="00DE435B"/>
    <w:rsid w:val="00DE5BC7"/>
    <w:rsid w:val="00DE5FAB"/>
    <w:rsid w:val="00DE6499"/>
    <w:rsid w:val="00DE65A0"/>
    <w:rsid w:val="00DE67FA"/>
    <w:rsid w:val="00DE7CE8"/>
    <w:rsid w:val="00DF1EFD"/>
    <w:rsid w:val="00DF4465"/>
    <w:rsid w:val="00E002BE"/>
    <w:rsid w:val="00E013AC"/>
    <w:rsid w:val="00E01CD5"/>
    <w:rsid w:val="00E01F24"/>
    <w:rsid w:val="00E0418F"/>
    <w:rsid w:val="00E069C1"/>
    <w:rsid w:val="00E073F5"/>
    <w:rsid w:val="00E075EE"/>
    <w:rsid w:val="00E07617"/>
    <w:rsid w:val="00E07EAC"/>
    <w:rsid w:val="00E14C38"/>
    <w:rsid w:val="00E1720D"/>
    <w:rsid w:val="00E173C3"/>
    <w:rsid w:val="00E2024F"/>
    <w:rsid w:val="00E20C47"/>
    <w:rsid w:val="00E22924"/>
    <w:rsid w:val="00E25517"/>
    <w:rsid w:val="00E32057"/>
    <w:rsid w:val="00E322E3"/>
    <w:rsid w:val="00E32E82"/>
    <w:rsid w:val="00E34575"/>
    <w:rsid w:val="00E3611C"/>
    <w:rsid w:val="00E454AD"/>
    <w:rsid w:val="00E4666A"/>
    <w:rsid w:val="00E4733F"/>
    <w:rsid w:val="00E507DC"/>
    <w:rsid w:val="00E50E21"/>
    <w:rsid w:val="00E52BAD"/>
    <w:rsid w:val="00E5318F"/>
    <w:rsid w:val="00E57F2C"/>
    <w:rsid w:val="00E6007C"/>
    <w:rsid w:val="00E60F8B"/>
    <w:rsid w:val="00E62573"/>
    <w:rsid w:val="00E62E41"/>
    <w:rsid w:val="00E63373"/>
    <w:rsid w:val="00E63CBC"/>
    <w:rsid w:val="00E73335"/>
    <w:rsid w:val="00E748E9"/>
    <w:rsid w:val="00E74977"/>
    <w:rsid w:val="00E74CFC"/>
    <w:rsid w:val="00E76355"/>
    <w:rsid w:val="00E81B2B"/>
    <w:rsid w:val="00E82EF3"/>
    <w:rsid w:val="00E83365"/>
    <w:rsid w:val="00E83553"/>
    <w:rsid w:val="00E849C6"/>
    <w:rsid w:val="00E85CB9"/>
    <w:rsid w:val="00E93C3D"/>
    <w:rsid w:val="00E94356"/>
    <w:rsid w:val="00E97F62"/>
    <w:rsid w:val="00EA0E9C"/>
    <w:rsid w:val="00EA102E"/>
    <w:rsid w:val="00EA4267"/>
    <w:rsid w:val="00EA538D"/>
    <w:rsid w:val="00EB25A2"/>
    <w:rsid w:val="00EB2790"/>
    <w:rsid w:val="00EB726B"/>
    <w:rsid w:val="00EB7DDF"/>
    <w:rsid w:val="00EC00AC"/>
    <w:rsid w:val="00EC2826"/>
    <w:rsid w:val="00EC42FE"/>
    <w:rsid w:val="00EC4D23"/>
    <w:rsid w:val="00ED2AD2"/>
    <w:rsid w:val="00ED41AE"/>
    <w:rsid w:val="00ED4688"/>
    <w:rsid w:val="00EE319D"/>
    <w:rsid w:val="00EE333A"/>
    <w:rsid w:val="00EE3CF2"/>
    <w:rsid w:val="00EE5D5B"/>
    <w:rsid w:val="00EF1017"/>
    <w:rsid w:val="00EF371D"/>
    <w:rsid w:val="00EF6909"/>
    <w:rsid w:val="00EF7A08"/>
    <w:rsid w:val="00F02A4D"/>
    <w:rsid w:val="00F11435"/>
    <w:rsid w:val="00F17480"/>
    <w:rsid w:val="00F24551"/>
    <w:rsid w:val="00F254B4"/>
    <w:rsid w:val="00F25715"/>
    <w:rsid w:val="00F30C1C"/>
    <w:rsid w:val="00F318B8"/>
    <w:rsid w:val="00F31D7E"/>
    <w:rsid w:val="00F31F08"/>
    <w:rsid w:val="00F33071"/>
    <w:rsid w:val="00F34423"/>
    <w:rsid w:val="00F37CC6"/>
    <w:rsid w:val="00F57015"/>
    <w:rsid w:val="00F61509"/>
    <w:rsid w:val="00F627DD"/>
    <w:rsid w:val="00F62A74"/>
    <w:rsid w:val="00F62E1C"/>
    <w:rsid w:val="00F7058F"/>
    <w:rsid w:val="00F711A8"/>
    <w:rsid w:val="00F722DD"/>
    <w:rsid w:val="00F73341"/>
    <w:rsid w:val="00F73CE0"/>
    <w:rsid w:val="00F761ED"/>
    <w:rsid w:val="00F76CCB"/>
    <w:rsid w:val="00F80AA3"/>
    <w:rsid w:val="00F82901"/>
    <w:rsid w:val="00F935EE"/>
    <w:rsid w:val="00F93FD8"/>
    <w:rsid w:val="00FA2765"/>
    <w:rsid w:val="00FA27D1"/>
    <w:rsid w:val="00FA3047"/>
    <w:rsid w:val="00FB79EC"/>
    <w:rsid w:val="00FC1BB4"/>
    <w:rsid w:val="00FC295F"/>
    <w:rsid w:val="00FC3328"/>
    <w:rsid w:val="00FC42BA"/>
    <w:rsid w:val="00FC5047"/>
    <w:rsid w:val="00FD090D"/>
    <w:rsid w:val="00FD2891"/>
    <w:rsid w:val="00FD39D8"/>
    <w:rsid w:val="00FD71ED"/>
    <w:rsid w:val="00FD797D"/>
    <w:rsid w:val="00FE153A"/>
    <w:rsid w:val="00FE23C9"/>
    <w:rsid w:val="00FE2D6B"/>
    <w:rsid w:val="00FE5DAA"/>
    <w:rsid w:val="00FF0578"/>
    <w:rsid w:val="00FF6CA8"/>
    <w:rsid w:val="044B32F5"/>
    <w:rsid w:val="0D036604"/>
    <w:rsid w:val="1D32731F"/>
    <w:rsid w:val="1EA233EA"/>
    <w:rsid w:val="1EA32C79"/>
    <w:rsid w:val="27AF6AED"/>
    <w:rsid w:val="30945421"/>
    <w:rsid w:val="317C2267"/>
    <w:rsid w:val="342D4D0C"/>
    <w:rsid w:val="35A554CC"/>
    <w:rsid w:val="37A83E90"/>
    <w:rsid w:val="3A7E4DDB"/>
    <w:rsid w:val="3D9622B4"/>
    <w:rsid w:val="3E0769BF"/>
    <w:rsid w:val="45367B13"/>
    <w:rsid w:val="4E086C4D"/>
    <w:rsid w:val="52BA360A"/>
    <w:rsid w:val="552521D4"/>
    <w:rsid w:val="57684EDC"/>
    <w:rsid w:val="5D8F268C"/>
    <w:rsid w:val="63D666E3"/>
    <w:rsid w:val="6F6F3EC3"/>
    <w:rsid w:val="71C75A92"/>
    <w:rsid w:val="7E25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numPr>
        <w:ilvl w:val="0"/>
        <w:numId w:val="1"/>
      </w:numPr>
      <w:autoSpaceDE w:val="0"/>
      <w:autoSpaceDN w:val="0"/>
      <w:adjustRightInd w:val="0"/>
      <w:jc w:val="center"/>
      <w:outlineLvl w:val="0"/>
    </w:pPr>
    <w:rPr>
      <w:b/>
      <w:kern w:val="0"/>
      <w:sz w:val="52"/>
      <w:szCs w:val="20"/>
    </w:rPr>
  </w:style>
  <w:style w:type="paragraph" w:styleId="3">
    <w:name w:val="heading 2"/>
    <w:basedOn w:val="1"/>
    <w:next w:val="1"/>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qFormat/>
    <w:uiPriority w:val="0"/>
    <w:pPr>
      <w:autoSpaceDE w:val="0"/>
      <w:autoSpaceDN w:val="0"/>
      <w:adjustRightInd w:val="0"/>
      <w:spacing w:after="156"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qFormat/>
    <w:uiPriority w:val="0"/>
    <w:pPr>
      <w:numPr>
        <w:ilvl w:val="3"/>
        <w:numId w:val="1"/>
      </w:numPr>
      <w:outlineLvl w:val="3"/>
    </w:pPr>
    <w:rPr>
      <w:rFonts w:ascii="宋体"/>
      <w:sz w:val="28"/>
      <w:szCs w:val="20"/>
    </w:rPr>
  </w:style>
  <w:style w:type="paragraph" w:styleId="6">
    <w:name w:val="heading 5"/>
    <w:basedOn w:val="1"/>
    <w:next w:val="1"/>
    <w:qFormat/>
    <w:uiPriority w:val="0"/>
    <w:pPr>
      <w:numPr>
        <w:ilvl w:val="4"/>
        <w:numId w:val="1"/>
      </w:numPr>
      <w:spacing w:before="120"/>
      <w:ind w:firstLine="540"/>
      <w:outlineLvl w:val="4"/>
    </w:pPr>
    <w:rPr>
      <w:rFonts w:ascii="宋体"/>
      <w:b/>
      <w:sz w:val="28"/>
      <w:szCs w:val="20"/>
    </w:rPr>
  </w:style>
  <w:style w:type="paragraph" w:styleId="7">
    <w:name w:val="heading 6"/>
    <w:basedOn w:val="1"/>
    <w:next w:val="1"/>
    <w:qFormat/>
    <w:uiPriority w:val="0"/>
    <w:pPr>
      <w:numPr>
        <w:ilvl w:val="5"/>
        <w:numId w:val="1"/>
      </w:numPr>
      <w:outlineLvl w:val="5"/>
    </w:pPr>
    <w:rPr>
      <w:sz w:val="28"/>
      <w:szCs w:val="20"/>
    </w:rPr>
  </w:style>
  <w:style w:type="paragraph" w:styleId="8">
    <w:name w:val="heading 7"/>
    <w:basedOn w:val="1"/>
    <w:next w:val="1"/>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qFormat/>
    <w:uiPriority w:val="0"/>
    <w:pPr>
      <w:keepNext/>
      <w:keepLines/>
      <w:spacing w:before="100" w:beforeAutospacing="1" w:after="100" w:afterAutospacing="1" w:line="317" w:lineRule="auto"/>
      <w:outlineLvl w:val="7"/>
    </w:pPr>
    <w:rPr>
      <w:rFonts w:ascii="Arial" w:hAnsi="Arial" w:eastAsia="黑体"/>
      <w:spacing w:val="20"/>
      <w:sz w:val="24"/>
    </w:rPr>
  </w:style>
  <w:style w:type="paragraph" w:styleId="10">
    <w:name w:val="heading 9"/>
    <w:basedOn w:val="1"/>
    <w:next w:val="1"/>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index 8"/>
    <w:basedOn w:val="1"/>
    <w:next w:val="1"/>
    <w:qFormat/>
    <w:uiPriority w:val="0"/>
    <w:pPr>
      <w:ind w:left="1680" w:hanging="210"/>
      <w:jc w:val="left"/>
    </w:pPr>
    <w:rPr>
      <w:sz w:val="20"/>
      <w:szCs w:val="20"/>
    </w:rPr>
  </w:style>
  <w:style w:type="paragraph" w:styleId="12">
    <w:name w:val="Normal Indent"/>
    <w:basedOn w:val="1"/>
    <w:link w:val="77"/>
    <w:qFormat/>
    <w:uiPriority w:val="0"/>
    <w:pPr>
      <w:ind w:firstLine="420" w:firstLineChars="200"/>
    </w:pPr>
    <w:rPr>
      <w:lang w:val="zh-CN"/>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sz w:val="20"/>
      <w:szCs w:val="20"/>
    </w:rPr>
  </w:style>
  <w:style w:type="paragraph" w:styleId="15">
    <w:name w:val="List Bullet"/>
    <w:basedOn w:val="1"/>
    <w:qFormat/>
    <w:uiPriority w:val="0"/>
    <w:pPr>
      <w:numPr>
        <w:ilvl w:val="0"/>
        <w:numId w:val="2"/>
      </w:numPr>
    </w:pPr>
    <w:rPr>
      <w:szCs w:val="20"/>
    </w:rPr>
  </w:style>
  <w:style w:type="paragraph" w:styleId="16">
    <w:name w:val="Document Map"/>
    <w:basedOn w:val="1"/>
    <w:qFormat/>
    <w:uiPriority w:val="0"/>
    <w:pPr>
      <w:shd w:val="clear" w:color="auto" w:fill="000080"/>
    </w:pPr>
  </w:style>
  <w:style w:type="paragraph" w:styleId="17">
    <w:name w:val="annotation text"/>
    <w:basedOn w:val="1"/>
    <w:link w:val="88"/>
    <w:unhideWhenUsed/>
    <w:qFormat/>
    <w:uiPriority w:val="0"/>
    <w:pPr>
      <w:jc w:val="left"/>
    </w:pPr>
    <w:rPr>
      <w:lang w:val="zh-CN"/>
    </w:rPr>
  </w:style>
  <w:style w:type="paragraph" w:styleId="18">
    <w:name w:val="index 6"/>
    <w:basedOn w:val="1"/>
    <w:next w:val="1"/>
    <w:qFormat/>
    <w:uiPriority w:val="0"/>
    <w:pPr>
      <w:ind w:left="1260" w:hanging="210"/>
      <w:jc w:val="left"/>
    </w:pPr>
    <w:rPr>
      <w:sz w:val="20"/>
      <w:szCs w:val="20"/>
    </w:rPr>
  </w:style>
  <w:style w:type="paragraph" w:styleId="19">
    <w:name w:val="Body Text 3"/>
    <w:basedOn w:val="1"/>
    <w:qFormat/>
    <w:uiPriority w:val="0"/>
    <w:rPr>
      <w:color w:val="FF0000"/>
    </w:rPr>
  </w:style>
  <w:style w:type="paragraph" w:styleId="20">
    <w:name w:val="Body Text"/>
    <w:basedOn w:val="1"/>
    <w:qFormat/>
    <w:uiPriority w:val="0"/>
    <w:rPr>
      <w:rFonts w:ascii="宋体" w:hAnsi="宋体"/>
      <w:sz w:val="28"/>
    </w:rPr>
  </w:style>
  <w:style w:type="paragraph" w:styleId="21">
    <w:name w:val="Body Text Indent"/>
    <w:basedOn w:val="1"/>
    <w:qFormat/>
    <w:uiPriority w:val="0"/>
    <w:pPr>
      <w:spacing w:before="312" w:beforeLines="100" w:line="360" w:lineRule="auto"/>
      <w:ind w:firstLine="480" w:firstLineChars="200"/>
    </w:pPr>
    <w:rPr>
      <w:rFonts w:ascii="宋体" w:hAnsi="宋体"/>
      <w:bCs/>
      <w:color w:val="000000"/>
      <w:sz w:val="24"/>
    </w:rPr>
  </w:style>
  <w:style w:type="paragraph" w:styleId="22">
    <w:name w:val="Block Text"/>
    <w:basedOn w:val="1"/>
    <w:qFormat/>
    <w:uiPriority w:val="0"/>
    <w:pPr>
      <w:tabs>
        <w:tab w:val="left" w:pos="773"/>
      </w:tabs>
      <w:ind w:left="592" w:leftChars="282" w:right="78" w:rightChars="37"/>
    </w:pPr>
    <w:rPr>
      <w:rFonts w:ascii="宋体" w:hAnsi="宋体"/>
      <w:sz w:val="24"/>
    </w:rPr>
  </w:style>
  <w:style w:type="paragraph" w:styleId="23">
    <w:name w:val="index 4"/>
    <w:basedOn w:val="1"/>
    <w:next w:val="1"/>
    <w:qFormat/>
    <w:uiPriority w:val="0"/>
    <w:pPr>
      <w:ind w:left="840" w:hanging="210"/>
      <w:jc w:val="left"/>
    </w:pPr>
    <w:rPr>
      <w:sz w:val="20"/>
      <w:szCs w:val="20"/>
    </w:rPr>
  </w:style>
  <w:style w:type="paragraph" w:styleId="24">
    <w:name w:val="Plain Text"/>
    <w:basedOn w:val="1"/>
    <w:link w:val="74"/>
    <w:qFormat/>
    <w:uiPriority w:val="0"/>
    <w:rPr>
      <w:rFonts w:ascii="宋体" w:hAnsi="Courier New"/>
      <w:szCs w:val="24"/>
    </w:rPr>
  </w:style>
  <w:style w:type="paragraph" w:styleId="25">
    <w:name w:val="index 3"/>
    <w:basedOn w:val="1"/>
    <w:next w:val="1"/>
    <w:qFormat/>
    <w:uiPriority w:val="0"/>
    <w:pPr>
      <w:ind w:left="630" w:hanging="210"/>
      <w:jc w:val="left"/>
    </w:pPr>
    <w:rPr>
      <w:sz w:val="20"/>
      <w:szCs w:val="20"/>
    </w:rPr>
  </w:style>
  <w:style w:type="paragraph" w:styleId="26">
    <w:name w:val="Body Text Indent 2"/>
    <w:basedOn w:val="1"/>
    <w:qFormat/>
    <w:uiPriority w:val="0"/>
    <w:pPr>
      <w:ind w:left="552"/>
    </w:pPr>
    <w:rPr>
      <w:sz w:val="24"/>
      <w:szCs w:val="20"/>
    </w:rPr>
  </w:style>
  <w:style w:type="paragraph" w:styleId="27">
    <w:name w:val="Balloon Text"/>
    <w:basedOn w:val="1"/>
    <w:qFormat/>
    <w:uiPriority w:val="0"/>
    <w:rPr>
      <w:sz w:val="18"/>
      <w:szCs w:val="18"/>
    </w:rPr>
  </w:style>
  <w:style w:type="paragraph" w:styleId="28">
    <w:name w:val="footer"/>
    <w:basedOn w:val="1"/>
    <w:link w:val="87"/>
    <w:qFormat/>
    <w:uiPriority w:val="99"/>
    <w:pPr>
      <w:tabs>
        <w:tab w:val="center" w:pos="4153"/>
        <w:tab w:val="right" w:pos="8306"/>
      </w:tabs>
      <w:snapToGrid w:val="0"/>
      <w:jc w:val="left"/>
    </w:pPr>
    <w:rPr>
      <w:sz w:val="18"/>
      <w:szCs w:val="18"/>
      <w:lang w:val="zh-CN"/>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index heading"/>
    <w:basedOn w:val="1"/>
    <w:next w:val="31"/>
    <w:qFormat/>
    <w:uiPriority w:val="0"/>
    <w:pPr>
      <w:spacing w:before="120" w:after="120"/>
      <w:jc w:val="left"/>
    </w:pPr>
    <w:rPr>
      <w:b/>
      <w:bCs/>
      <w:i/>
      <w:iCs/>
      <w:sz w:val="20"/>
      <w:szCs w:val="20"/>
    </w:rPr>
  </w:style>
  <w:style w:type="paragraph" w:styleId="31">
    <w:name w:val="index 1"/>
    <w:basedOn w:val="1"/>
    <w:next w:val="1"/>
    <w:qFormat/>
    <w:uiPriority w:val="0"/>
    <w:pPr>
      <w:ind w:left="516" w:hanging="516"/>
      <w:jc w:val="center"/>
    </w:pPr>
    <w:rPr>
      <w:sz w:val="20"/>
      <w:szCs w:val="20"/>
    </w:rPr>
  </w:style>
  <w:style w:type="paragraph" w:styleId="32">
    <w:name w:val="Body Text Indent 3"/>
    <w:basedOn w:val="1"/>
    <w:qFormat/>
    <w:uiPriority w:val="0"/>
    <w:pPr>
      <w:spacing w:line="360" w:lineRule="auto"/>
      <w:ind w:firstLine="480"/>
    </w:pPr>
    <w:rPr>
      <w:sz w:val="24"/>
    </w:rPr>
  </w:style>
  <w:style w:type="paragraph" w:styleId="33">
    <w:name w:val="index 7"/>
    <w:basedOn w:val="1"/>
    <w:next w:val="1"/>
    <w:qFormat/>
    <w:uiPriority w:val="0"/>
    <w:pPr>
      <w:ind w:left="1470" w:hanging="210"/>
      <w:jc w:val="left"/>
    </w:pPr>
    <w:rPr>
      <w:sz w:val="20"/>
      <w:szCs w:val="20"/>
    </w:rPr>
  </w:style>
  <w:style w:type="paragraph" w:styleId="34">
    <w:name w:val="index 9"/>
    <w:basedOn w:val="1"/>
    <w:next w:val="1"/>
    <w:qFormat/>
    <w:uiPriority w:val="0"/>
    <w:pPr>
      <w:ind w:left="1890" w:hanging="210"/>
      <w:jc w:val="left"/>
    </w:pPr>
    <w:rPr>
      <w:sz w:val="20"/>
      <w:szCs w:val="20"/>
    </w:rPr>
  </w:style>
  <w:style w:type="paragraph" w:styleId="35">
    <w:name w:val="Body Text 2"/>
    <w:basedOn w:val="1"/>
    <w:qFormat/>
    <w:uiPriority w:val="0"/>
    <w:pPr>
      <w:jc w:val="center"/>
    </w:pPr>
  </w:style>
  <w:style w:type="paragraph" w:styleId="36">
    <w:name w:val="Normal (Web)"/>
    <w:basedOn w:val="1"/>
    <w:link w:val="79"/>
    <w:qFormat/>
    <w:uiPriority w:val="0"/>
    <w:pPr>
      <w:widowControl/>
      <w:spacing w:before="100" w:beforeAutospacing="1" w:after="100" w:afterAutospacing="1"/>
      <w:jc w:val="left"/>
    </w:pPr>
    <w:rPr>
      <w:rFonts w:ascii="宋体" w:hAnsi="宋体"/>
      <w:color w:val="000000"/>
      <w:kern w:val="0"/>
      <w:sz w:val="24"/>
      <w:szCs w:val="24"/>
      <w:lang w:val="zh-CN"/>
    </w:rPr>
  </w:style>
  <w:style w:type="paragraph" w:styleId="37">
    <w:name w:val="index 2"/>
    <w:basedOn w:val="1"/>
    <w:next w:val="1"/>
    <w:qFormat/>
    <w:uiPriority w:val="0"/>
    <w:pPr>
      <w:ind w:left="420" w:hanging="210"/>
      <w:jc w:val="left"/>
    </w:pPr>
    <w:rPr>
      <w:sz w:val="20"/>
      <w:szCs w:val="20"/>
    </w:rPr>
  </w:style>
  <w:style w:type="paragraph" w:styleId="38">
    <w:name w:val="annotation subject"/>
    <w:basedOn w:val="17"/>
    <w:next w:val="17"/>
    <w:link w:val="89"/>
    <w:semiHidden/>
    <w:unhideWhenUsed/>
    <w:qFormat/>
    <w:uiPriority w:val="99"/>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page number"/>
    <w:basedOn w:val="41"/>
    <w:qFormat/>
    <w:uiPriority w:val="0"/>
  </w:style>
  <w:style w:type="character" w:styleId="43">
    <w:name w:val="Hyperlink"/>
    <w:qFormat/>
    <w:uiPriority w:val="99"/>
    <w:rPr>
      <w:color w:val="0000FF"/>
      <w:u w:val="single"/>
    </w:rPr>
  </w:style>
  <w:style w:type="character" w:styleId="44">
    <w:name w:val="annotation reference"/>
    <w:semiHidden/>
    <w:unhideWhenUsed/>
    <w:qFormat/>
    <w:uiPriority w:val="99"/>
    <w:rPr>
      <w:sz w:val="21"/>
      <w:szCs w:val="21"/>
    </w:rPr>
  </w:style>
  <w:style w:type="character" w:customStyle="1" w:styleId="45">
    <w:name w:val="已访问的超链接1"/>
    <w:qFormat/>
    <w:uiPriority w:val="0"/>
    <w:rPr>
      <w:color w:val="800080"/>
      <w:u w:val="single"/>
    </w:rPr>
  </w:style>
  <w:style w:type="paragraph" w:customStyle="1" w:styleId="46">
    <w:name w:val="目录 71"/>
    <w:basedOn w:val="1"/>
    <w:next w:val="1"/>
    <w:qFormat/>
    <w:uiPriority w:val="0"/>
    <w:pPr>
      <w:ind w:left="1260"/>
      <w:jc w:val="left"/>
    </w:pPr>
    <w:rPr>
      <w:sz w:val="18"/>
      <w:szCs w:val="18"/>
    </w:rPr>
  </w:style>
  <w:style w:type="paragraph" w:customStyle="1" w:styleId="47">
    <w:name w:val="目录 41"/>
    <w:basedOn w:val="1"/>
    <w:next w:val="1"/>
    <w:qFormat/>
    <w:uiPriority w:val="0"/>
    <w:pPr>
      <w:ind w:left="630"/>
      <w:jc w:val="left"/>
    </w:pPr>
    <w:rPr>
      <w:sz w:val="18"/>
      <w:szCs w:val="18"/>
    </w:rPr>
  </w:style>
  <w:style w:type="paragraph" w:customStyle="1" w:styleId="48">
    <w:name w:val="目录 81"/>
    <w:basedOn w:val="1"/>
    <w:next w:val="1"/>
    <w:qFormat/>
    <w:uiPriority w:val="0"/>
    <w:pPr>
      <w:ind w:left="1470"/>
      <w:jc w:val="left"/>
    </w:pPr>
    <w:rPr>
      <w:sz w:val="18"/>
      <w:szCs w:val="18"/>
    </w:rPr>
  </w:style>
  <w:style w:type="paragraph" w:customStyle="1" w:styleId="49">
    <w:name w:val="目录 21"/>
    <w:basedOn w:val="1"/>
    <w:next w:val="1"/>
    <w:qFormat/>
    <w:uiPriority w:val="39"/>
    <w:pPr>
      <w:ind w:left="210"/>
      <w:jc w:val="left"/>
    </w:pPr>
    <w:rPr>
      <w:smallCaps/>
      <w:sz w:val="20"/>
      <w:szCs w:val="20"/>
    </w:rPr>
  </w:style>
  <w:style w:type="paragraph" w:customStyle="1" w:styleId="50">
    <w:name w:val="目录 91"/>
    <w:basedOn w:val="1"/>
    <w:next w:val="1"/>
    <w:qFormat/>
    <w:uiPriority w:val="0"/>
    <w:pPr>
      <w:ind w:left="1680"/>
      <w:jc w:val="left"/>
    </w:pPr>
    <w:rPr>
      <w:sz w:val="18"/>
      <w:szCs w:val="18"/>
    </w:rPr>
  </w:style>
  <w:style w:type="paragraph" w:customStyle="1" w:styleId="51">
    <w:name w:val="目录 51"/>
    <w:basedOn w:val="1"/>
    <w:next w:val="1"/>
    <w:qFormat/>
    <w:uiPriority w:val="0"/>
    <w:pPr>
      <w:tabs>
        <w:tab w:val="left" w:pos="7020"/>
        <w:tab w:val="left" w:pos="7560"/>
        <w:tab w:val="left" w:pos="7920"/>
        <w:tab w:val="left" w:pos="8460"/>
      </w:tabs>
      <w:spacing w:line="480" w:lineRule="auto"/>
      <w:ind w:left="540" w:right="722" w:rightChars="344"/>
      <w:jc w:val="distribute"/>
    </w:pPr>
    <w:rPr>
      <w:color w:val="000000"/>
      <w:sz w:val="28"/>
      <w:szCs w:val="28"/>
    </w:rPr>
  </w:style>
  <w:style w:type="paragraph" w:customStyle="1" w:styleId="52">
    <w:name w:val="目录 11"/>
    <w:basedOn w:val="1"/>
    <w:next w:val="1"/>
    <w:qFormat/>
    <w:uiPriority w:val="39"/>
    <w:pPr>
      <w:spacing w:line="600" w:lineRule="atLeast"/>
      <w:jc w:val="left"/>
    </w:pPr>
    <w:rPr>
      <w:b/>
      <w:bCs/>
      <w:caps/>
      <w:sz w:val="30"/>
      <w:szCs w:val="20"/>
    </w:rPr>
  </w:style>
  <w:style w:type="paragraph" w:customStyle="1" w:styleId="53">
    <w:name w:val="目录 31"/>
    <w:basedOn w:val="1"/>
    <w:next w:val="1"/>
    <w:qFormat/>
    <w:uiPriority w:val="0"/>
    <w:pPr>
      <w:ind w:left="420"/>
      <w:jc w:val="left"/>
    </w:pPr>
    <w:rPr>
      <w:i/>
      <w:iCs/>
      <w:sz w:val="20"/>
      <w:szCs w:val="20"/>
    </w:rPr>
  </w:style>
  <w:style w:type="paragraph" w:customStyle="1" w:styleId="54">
    <w:name w:val="目录 61"/>
    <w:basedOn w:val="1"/>
    <w:next w:val="1"/>
    <w:qFormat/>
    <w:uiPriority w:val="0"/>
    <w:pPr>
      <w:ind w:left="1050"/>
      <w:jc w:val="left"/>
    </w:pPr>
    <w:rPr>
      <w:rFonts w:ascii="黑体" w:eastAsia="黑体"/>
      <w:color w:val="000000"/>
    </w:rPr>
  </w:style>
  <w:style w:type="paragraph" w:customStyle="1" w:styleId="55">
    <w:name w:val="Char"/>
    <w:basedOn w:val="1"/>
    <w:qFormat/>
    <w:uiPriority w:val="0"/>
    <w:rPr>
      <w:rFonts w:ascii="Tahoma" w:hAnsi="Tahoma"/>
      <w:sz w:val="24"/>
      <w:szCs w:val="20"/>
    </w:rPr>
  </w:style>
  <w:style w:type="paragraph" w:customStyle="1" w:styleId="56">
    <w:name w:val="书籍标题1"/>
    <w:basedOn w:val="1"/>
    <w:next w:val="1"/>
    <w:qFormat/>
    <w:uiPriority w:val="0"/>
    <w:pPr>
      <w:pageBreakBefore/>
      <w:widowControl/>
      <w:numPr>
        <w:ilvl w:val="0"/>
        <w:numId w:val="3"/>
      </w:numPr>
      <w:spacing w:before="624" w:beforeLines="200" w:after="624" w:afterLines="200"/>
      <w:ind w:left="0"/>
      <w:jc w:val="center"/>
      <w:outlineLvl w:val="0"/>
    </w:pPr>
    <w:rPr>
      <w:rFonts w:eastAsia="黑体"/>
      <w:b/>
      <w:bCs/>
      <w:spacing w:val="20"/>
      <w:kern w:val="44"/>
      <w:sz w:val="44"/>
      <w:szCs w:val="20"/>
    </w:rPr>
  </w:style>
  <w:style w:type="paragraph" w:customStyle="1" w:styleId="57">
    <w:name w:val="题注3"/>
    <w:basedOn w:val="1"/>
    <w:next w:val="13"/>
    <w:qFormat/>
    <w:uiPriority w:val="0"/>
    <w:pPr>
      <w:ind w:left="-107" w:leftChars="-51" w:firstLine="1"/>
      <w:jc w:val="center"/>
    </w:pPr>
    <w:rPr>
      <w:rFonts w:eastAsia="华文中宋"/>
      <w:b/>
      <w:sz w:val="32"/>
    </w:rPr>
  </w:style>
  <w:style w:type="paragraph" w:customStyle="1" w:styleId="58">
    <w:name w:val="题注5"/>
    <w:basedOn w:val="1"/>
    <w:next w:val="13"/>
    <w:qFormat/>
    <w:uiPriority w:val="0"/>
    <w:pPr>
      <w:jc w:val="center"/>
    </w:pPr>
    <w:rPr>
      <w:b/>
      <w:color w:val="000000"/>
      <w:sz w:val="24"/>
    </w:rPr>
  </w:style>
  <w:style w:type="paragraph" w:customStyle="1" w:styleId="59">
    <w:name w:val="书籍标题4"/>
    <w:basedOn w:val="1"/>
    <w:next w:val="1"/>
    <w:qFormat/>
    <w:uiPriority w:val="0"/>
    <w:pPr>
      <w:numPr>
        <w:ilvl w:val="3"/>
        <w:numId w:val="3"/>
      </w:numPr>
      <w:tabs>
        <w:tab w:val="left" w:pos="1680"/>
      </w:tabs>
      <w:ind w:left="567" w:firstLine="0"/>
      <w:jc w:val="left"/>
      <w:outlineLvl w:val="3"/>
    </w:pPr>
    <w:rPr>
      <w:b/>
      <w:bCs/>
      <w:spacing w:val="20"/>
      <w:sz w:val="24"/>
      <w:lang w:val="zh-CN"/>
    </w:rPr>
  </w:style>
  <w:style w:type="paragraph" w:customStyle="1" w:styleId="60">
    <w:name w:val="题注6"/>
    <w:basedOn w:val="1"/>
    <w:next w:val="13"/>
    <w:qFormat/>
    <w:uiPriority w:val="0"/>
    <w:pPr>
      <w:tabs>
        <w:tab w:val="left" w:pos="720"/>
      </w:tabs>
      <w:ind w:left="720"/>
    </w:pPr>
    <w:rPr>
      <w:bCs/>
      <w:color w:val="FF0000"/>
      <w:lang w:val="en-GB"/>
    </w:rPr>
  </w:style>
  <w:style w:type="paragraph" w:customStyle="1" w:styleId="61">
    <w:name w:val="Char1"/>
    <w:basedOn w:val="1"/>
    <w:qFormat/>
    <w:uiPriority w:val="0"/>
    <w:pPr>
      <w:widowControl/>
      <w:spacing w:after="160" w:line="240" w:lineRule="exact"/>
      <w:jc w:val="left"/>
    </w:pPr>
  </w:style>
  <w:style w:type="paragraph" w:customStyle="1" w:styleId="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63">
    <w:name w:val="题注4"/>
    <w:basedOn w:val="1"/>
    <w:next w:val="13"/>
    <w:qFormat/>
    <w:uiPriority w:val="0"/>
    <w:pPr>
      <w:ind w:left="46" w:leftChars="22" w:right="-105" w:rightChars="-50"/>
      <w:jc w:val="center"/>
    </w:pPr>
    <w:rPr>
      <w:rFonts w:ascii="黑体" w:eastAsia="黑体"/>
      <w:b/>
      <w:color w:val="000000"/>
      <w:lang w:val="en-GB"/>
    </w:rPr>
  </w:style>
  <w:style w:type="paragraph" w:customStyle="1" w:styleId="64">
    <w:name w:val="p0"/>
    <w:basedOn w:val="1"/>
    <w:qFormat/>
    <w:uiPriority w:val="0"/>
    <w:pPr>
      <w:widowControl/>
    </w:pPr>
    <w:rPr>
      <w:color w:val="0000FF"/>
      <w:kern w:val="0"/>
      <w:sz w:val="24"/>
      <w:szCs w:val="24"/>
    </w:rPr>
  </w:style>
  <w:style w:type="paragraph" w:customStyle="1" w:styleId="65">
    <w:name w:val="图"/>
    <w:basedOn w:val="1"/>
    <w:link w:val="7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6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文档正文 Char Char"/>
    <w:link w:val="68"/>
    <w:qFormat/>
    <w:locked/>
    <w:uiPriority w:val="0"/>
    <w:rPr>
      <w:rFonts w:ascii="仿宋_GB2312" w:eastAsia="仿宋_GB2312"/>
      <w:sz w:val="32"/>
      <w:szCs w:val="32"/>
      <w:lang w:bidi="ar-SA"/>
    </w:rPr>
  </w:style>
  <w:style w:type="paragraph" w:customStyle="1" w:styleId="68">
    <w:name w:val="文档正文"/>
    <w:basedOn w:val="1"/>
    <w:link w:val="67"/>
    <w:qFormat/>
    <w:uiPriority w:val="0"/>
    <w:pPr>
      <w:adjustRightInd w:val="0"/>
      <w:spacing w:line="560" w:lineRule="exact"/>
      <w:ind w:firstLine="640" w:firstLineChars="200"/>
      <w:jc w:val="left"/>
    </w:pPr>
    <w:rPr>
      <w:rFonts w:ascii="仿宋_GB2312" w:eastAsia="仿宋_GB2312"/>
      <w:kern w:val="0"/>
      <w:sz w:val="32"/>
      <w:szCs w:val="32"/>
      <w:lang w:val="zh-CN"/>
    </w:rPr>
  </w:style>
  <w:style w:type="character" w:customStyle="1" w:styleId="69">
    <w:name w:val="正文首行缩进 Char"/>
    <w:link w:val="70"/>
    <w:semiHidden/>
    <w:qFormat/>
    <w:locked/>
    <w:uiPriority w:val="0"/>
    <w:rPr>
      <w:sz w:val="21"/>
      <w:lang w:bidi="ar-SA"/>
    </w:rPr>
  </w:style>
  <w:style w:type="paragraph" w:customStyle="1" w:styleId="70">
    <w:name w:val="正文首行缩进1"/>
    <w:basedOn w:val="20"/>
    <w:link w:val="69"/>
    <w:semiHidden/>
    <w:qFormat/>
    <w:uiPriority w:val="0"/>
    <w:pPr>
      <w:widowControl/>
      <w:spacing w:after="120"/>
      <w:ind w:firstLine="420" w:firstLineChars="100"/>
      <w:jc w:val="left"/>
    </w:pPr>
    <w:rPr>
      <w:rFonts w:ascii="Times New Roman" w:hAnsi="Times New Roman"/>
      <w:kern w:val="0"/>
      <w:sz w:val="21"/>
      <w:szCs w:val="20"/>
      <w:lang w:val="zh-CN"/>
    </w:rPr>
  </w:style>
  <w:style w:type="character" w:customStyle="1" w:styleId="71">
    <w:name w:val="图 Char"/>
    <w:link w:val="65"/>
    <w:qFormat/>
    <w:uiPriority w:val="0"/>
    <w:rPr>
      <w:rFonts w:eastAsia="宋体"/>
      <w:snapToGrid w:val="0"/>
      <w:spacing w:val="20"/>
      <w:sz w:val="24"/>
      <w:lang w:bidi="ar-SA"/>
    </w:rPr>
  </w:style>
  <w:style w:type="paragraph" w:customStyle="1" w:styleId="72">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样式 正文缩进 + 首行缩进:  2 字符"/>
    <w:basedOn w:val="12"/>
    <w:qFormat/>
    <w:uiPriority w:val="0"/>
    <w:pPr>
      <w:spacing w:before="160" w:after="160" w:line="360" w:lineRule="auto"/>
      <w:ind w:firstLine="480"/>
    </w:pPr>
    <w:rPr>
      <w:rFonts w:ascii="宋体"/>
      <w:sz w:val="24"/>
      <w:szCs w:val="24"/>
    </w:rPr>
  </w:style>
  <w:style w:type="character" w:customStyle="1" w:styleId="74">
    <w:name w:val="纯文本 Char"/>
    <w:link w:val="24"/>
    <w:qFormat/>
    <w:locked/>
    <w:uiPriority w:val="0"/>
    <w:rPr>
      <w:rFonts w:ascii="宋体" w:hAnsi="Courier New" w:eastAsia="宋体"/>
      <w:kern w:val="2"/>
      <w:sz w:val="21"/>
      <w:szCs w:val="24"/>
      <w:lang w:val="en-US" w:eastAsia="zh-CN" w:bidi="ar-SA"/>
    </w:rPr>
  </w:style>
  <w:style w:type="character" w:customStyle="1" w:styleId="75">
    <w:name w:val="Char Char3"/>
    <w:qFormat/>
    <w:uiPriority w:val="0"/>
    <w:rPr>
      <w:rFonts w:ascii="宋体" w:hAnsi="Courier New" w:eastAsia="宋体" w:cs="Courier New"/>
      <w:kern w:val="2"/>
      <w:sz w:val="21"/>
      <w:szCs w:val="21"/>
      <w:lang w:val="en-US" w:eastAsia="zh-CN" w:bidi="ar-SA"/>
    </w:rPr>
  </w:style>
  <w:style w:type="character" w:customStyle="1" w:styleId="76">
    <w:name w:val="Char Char5"/>
    <w:qFormat/>
    <w:uiPriority w:val="0"/>
    <w:rPr>
      <w:rFonts w:ascii="宋体" w:hAnsi="Courier New" w:eastAsia="宋体"/>
      <w:kern w:val="2"/>
      <w:sz w:val="21"/>
      <w:szCs w:val="24"/>
      <w:lang w:val="en-US" w:eastAsia="zh-CN" w:bidi="ar-SA"/>
    </w:rPr>
  </w:style>
  <w:style w:type="character" w:customStyle="1" w:styleId="77">
    <w:name w:val="正文缩进 Char"/>
    <w:link w:val="12"/>
    <w:qFormat/>
    <w:uiPriority w:val="0"/>
    <w:rPr>
      <w:kern w:val="2"/>
      <w:sz w:val="21"/>
      <w:szCs w:val="21"/>
    </w:rPr>
  </w:style>
  <w:style w:type="character" w:customStyle="1" w:styleId="78">
    <w:name w:val="纯文本 Char1"/>
    <w:semiHidden/>
    <w:qFormat/>
    <w:locked/>
    <w:uiPriority w:val="0"/>
    <w:rPr>
      <w:rFonts w:ascii="宋体" w:hAnsi="Courier New" w:eastAsia="宋体" w:cs="宋体"/>
      <w:lang w:val="en-US" w:eastAsia="zh-CN" w:bidi="ar-SA"/>
    </w:rPr>
  </w:style>
  <w:style w:type="character" w:customStyle="1" w:styleId="79">
    <w:name w:val="普通(网站) Char"/>
    <w:link w:val="36"/>
    <w:qFormat/>
    <w:locked/>
    <w:uiPriority w:val="0"/>
    <w:rPr>
      <w:rFonts w:ascii="宋体" w:hAnsi="宋体" w:eastAsia="宋体"/>
      <w:color w:val="000000"/>
      <w:sz w:val="24"/>
      <w:szCs w:val="24"/>
      <w:lang w:val="zh-CN" w:eastAsia="zh-CN" w:bidi="ar-SA"/>
    </w:rPr>
  </w:style>
  <w:style w:type="character" w:customStyle="1" w:styleId="80">
    <w:name w:val="19"/>
    <w:qFormat/>
    <w:uiPriority w:val="0"/>
    <w:rPr>
      <w:rFonts w:hint="default" w:ascii="Tahoma" w:hAnsi="Tahoma" w:eastAsia="宋体" w:cs="Tahoma"/>
      <w:b/>
      <w:bCs/>
      <w:spacing w:val="10"/>
      <w:sz w:val="24"/>
      <w:szCs w:val="24"/>
    </w:rPr>
  </w:style>
  <w:style w:type="character" w:customStyle="1" w:styleId="81">
    <w:name w:val="正文缩进2格 Char"/>
    <w:link w:val="82"/>
    <w:qFormat/>
    <w:locked/>
    <w:uiPriority w:val="0"/>
    <w:rPr>
      <w:rFonts w:ascii="仿宋_GB2312" w:hAnsi="宋体" w:eastAsia="仿宋_GB2312"/>
      <w:sz w:val="31"/>
      <w:szCs w:val="28"/>
      <w:lang w:bidi="ar-SA"/>
    </w:rPr>
  </w:style>
  <w:style w:type="paragraph" w:customStyle="1" w:styleId="82">
    <w:name w:val="正文缩进2格"/>
    <w:basedOn w:val="1"/>
    <w:link w:val="81"/>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3">
    <w:name w:val="列出段落 Char"/>
    <w:link w:val="84"/>
    <w:qFormat/>
    <w:uiPriority w:val="0"/>
    <w:rPr>
      <w:kern w:val="2"/>
      <w:sz w:val="21"/>
      <w:szCs w:val="24"/>
    </w:rPr>
  </w:style>
  <w:style w:type="paragraph" w:customStyle="1" w:styleId="84">
    <w:name w:val="列出段落1"/>
    <w:basedOn w:val="1"/>
    <w:link w:val="83"/>
    <w:qFormat/>
    <w:uiPriority w:val="0"/>
    <w:pPr>
      <w:ind w:firstLine="420" w:firstLineChars="200"/>
    </w:pPr>
    <w:rPr>
      <w:szCs w:val="24"/>
      <w:lang w:val="zh-CN"/>
    </w:rPr>
  </w:style>
  <w:style w:type="paragraph" w:customStyle="1" w:styleId="85">
    <w:name w:val="列出段落11"/>
    <w:basedOn w:val="1"/>
    <w:qFormat/>
    <w:uiPriority w:val="0"/>
    <w:pPr>
      <w:ind w:firstLine="420" w:firstLineChars="200"/>
    </w:pPr>
    <w:rPr>
      <w:rFonts w:ascii="Calibri" w:hAnsi="Calibri"/>
      <w:szCs w:val="22"/>
    </w:rPr>
  </w:style>
  <w:style w:type="paragraph" w:customStyle="1" w:styleId="86">
    <w:name w:val="列出段落2"/>
    <w:basedOn w:val="1"/>
    <w:qFormat/>
    <w:uiPriority w:val="34"/>
    <w:pPr>
      <w:ind w:firstLine="420" w:firstLineChars="200"/>
    </w:pPr>
  </w:style>
  <w:style w:type="character" w:customStyle="1" w:styleId="87">
    <w:name w:val="页脚 Char"/>
    <w:link w:val="28"/>
    <w:qFormat/>
    <w:uiPriority w:val="99"/>
    <w:rPr>
      <w:kern w:val="2"/>
      <w:sz w:val="18"/>
      <w:szCs w:val="18"/>
    </w:rPr>
  </w:style>
  <w:style w:type="character" w:customStyle="1" w:styleId="88">
    <w:name w:val="批注文字 Char"/>
    <w:link w:val="17"/>
    <w:semiHidden/>
    <w:qFormat/>
    <w:uiPriority w:val="99"/>
    <w:rPr>
      <w:kern w:val="2"/>
      <w:sz w:val="21"/>
      <w:szCs w:val="21"/>
    </w:rPr>
  </w:style>
  <w:style w:type="character" w:customStyle="1" w:styleId="89">
    <w:name w:val="批注主题 Char"/>
    <w:link w:val="38"/>
    <w:semiHidden/>
    <w:qFormat/>
    <w:uiPriority w:val="99"/>
    <w:rPr>
      <w:b/>
      <w:bCs/>
      <w:kern w:val="2"/>
      <w:sz w:val="21"/>
      <w:szCs w:val="21"/>
    </w:rPr>
  </w:style>
  <w:style w:type="character" w:customStyle="1" w:styleId="90">
    <w:name w:val="文档正文 Char"/>
    <w:uiPriority w:val="0"/>
    <w:rPr>
      <w:sz w:val="24"/>
    </w:rPr>
  </w:style>
  <w:style w:type="character" w:customStyle="1" w:styleId="91">
    <w:name w:val="*正文 Char"/>
    <w:link w:val="92"/>
    <w:uiPriority w:val="0"/>
    <w:rPr>
      <w:rFonts w:ascii="宋体" w:hAnsi="宋体" w:eastAsia="仿宋"/>
      <w:sz w:val="24"/>
      <w:szCs w:val="24"/>
    </w:rPr>
  </w:style>
  <w:style w:type="paragraph" w:customStyle="1" w:styleId="92">
    <w:name w:val="*正文"/>
    <w:basedOn w:val="1"/>
    <w:link w:val="91"/>
    <w:uiPriority w:val="0"/>
    <w:pPr>
      <w:widowControl/>
      <w:spacing w:line="360" w:lineRule="auto"/>
      <w:ind w:firstLine="200" w:firstLineChars="200"/>
      <w:jc w:val="left"/>
    </w:pPr>
    <w:rPr>
      <w:rFonts w:ascii="宋体" w:hAnsi="宋体" w:eastAsia="仿宋"/>
      <w:kern w:val="0"/>
      <w:sz w:val="24"/>
      <w:szCs w:val="24"/>
      <w:lang w:val="zh-CN"/>
    </w:rPr>
  </w:style>
  <w:style w:type="character" w:customStyle="1" w:styleId="93">
    <w:name w:val="批注文字 字符"/>
    <w:qFormat/>
    <w:uiPriority w:val="0"/>
    <w:rPr>
      <w:rFonts w:ascii="Times New Roman" w:hAnsi="Times New Roman" w:eastAsia="宋体" w:cs="Times New Roman"/>
      <w:szCs w:val="20"/>
    </w:rPr>
  </w:style>
  <w:style w:type="character" w:customStyle="1" w:styleId="94">
    <w:name w:val="font11"/>
    <w:basedOn w:val="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1818</Words>
  <Characters>10365</Characters>
  <Lines>86</Lines>
  <Paragraphs>24</Paragraphs>
  <TotalTime>8</TotalTime>
  <ScaleCrop>false</ScaleCrop>
  <LinksUpToDate>false</LinksUpToDate>
  <CharactersWithSpaces>12159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2023-01-28T06:34:00Z</dcterms:created>
  <dc:creator>佛山市中级人民法院</dc:creator>
  <cp:lastModifiedBy>市法院</cp:lastModifiedBy>
  <cp:lastPrinted>2023-07-19T01:42:00Z</cp:lastPrinted>
  <dcterms:modified xsi:type="dcterms:W3CDTF">2023-10-16T06:48:59Z</dcterms:modified>
  <dc:title>通用类询价文件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10AA78C8FEE144E8BDDE1E43814AA555_13</vt:lpwstr>
  </property>
</Properties>
</file>