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cs="Times New Roman"/>
          <w:szCs w:val="24"/>
        </w:rPr>
        <w:id w:val="33008173"/>
        <w:docPartObj>
          <w:docPartGallery w:val="autotext"/>
        </w:docPartObj>
      </w:sdtPr>
      <w:sdtEndPr>
        <w:rPr>
          <w:rFonts w:cstheme="minorBidi"/>
          <w:szCs w:val="21"/>
        </w:rPr>
      </w:sdtEndPr>
      <w:sdtContent>
        <w:p>
          <w:pPr>
            <w:ind w:firstLine="488"/>
          </w:pPr>
          <w: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-15240</wp:posOffset>
                </wp:positionV>
                <wp:extent cx="1123950" cy="447675"/>
                <wp:effectExtent l="0" t="0" r="0" b="9525"/>
                <wp:wrapNone/>
                <wp:docPr id="1" name="图片 1" descr="说明: 公司新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说明: 公司新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-96520</wp:posOffset>
                    </wp:positionH>
                    <wp:positionV relativeFrom="paragraph">
                      <wp:posOffset>62865</wp:posOffset>
                    </wp:positionV>
                    <wp:extent cx="482600" cy="512445"/>
                    <wp:effectExtent l="0" t="0" r="12700" b="20955"/>
                    <wp:wrapNone/>
                    <wp:docPr id="309" name="组合 30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 flipV="1">
                              <a:off x="0" y="0"/>
                              <a:ext cx="482600" cy="51244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10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1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2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flip:x y;margin-left:-7.6pt;margin-top:4.95pt;height:40.35pt;width:38pt;z-index:251667456;mso-width-relative:page;mso-height-relative:page;" coordorigin="8754,11945" coordsize="2880,2859" o:gfxdata="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o8izO1gAAAAcBAAAPAAAAAAAAAAEAIAAA&#10;ACIAAABkcnMvZG93bnJldi54bWxQSwECFAAUAAAACACHTuJAp7NFQfICAAA4CwAADgAAAAAAAAAB&#10;ACAAAAAlAQAAZHJzL2Uyb0RvYy54bWxQSwUGAAAAAAYABgBZAQAAiQYAAAAA&#10;">
                    <o:lock v:ext="edit" aspectratio="f"/>
                    <v:rect id="Rectangle 16" o:spid="_x0000_s1026" o:spt="1" style="position:absolute;left:10194;top:11945;flip:x;height:1440;width:1440;v-text-anchor:middle;" fillcolor="#BFBFBF" filled="t" stroked="t" coordsize="21600,21600" o:gfxdata="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N8HKugAAANwA&#10;AAAPAAAAAAAAAAEAIAAAACIAAABkcnMvZG93bnJldi54bWxQSwECFAAUAAAACACHTuJAMy8FnjsA&#10;AAA5AAAAEAAAAAAAAAABACAAAAAJAQAAZHJzL3NoYXBleG1sLnhtbFBLBQYAAAAABgAGAFsBAACz&#10;AwAAAAA=&#10;">
                      <v:fill on="t" opacity="32895f" focussize="0,0"/>
                      <v:stroke weight="1pt" color="#FFFFFF" miterlimit="8" joinstyle="miter"/>
                      <v:imagedata o:title=""/>
                      <o:lock v:ext="edit" aspectratio="f"/>
                    </v:rect>
                    <v:rect id="Rectangle 17" o:spid="_x0000_s1026" o:spt="1" style="position:absolute;left:10194;top:13364;flip:x;height:1440;width:1440;v-text-anchor:middle;" fillcolor="#C0504D" filled="t" stroked="t" coordsize="21600,21600" o:gfxdata="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I4T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FFFFFF" miterlimit="8" joinstyle="miter"/>
                      <v:imagedata o:title=""/>
                      <o:lock v:ext="edit" aspectratio="f"/>
                    </v:rect>
                    <v:rect id="Rectangle 18" o:spid="_x0000_s1026" o:spt="1" style="position:absolute;left:8754;top:13364;flip:x;height:1440;width:1440;v-text-anchor:middle;" fillcolor="#BFBFBF" filled="t" stroked="t" coordsize="21600,21600" o:gfxdata="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n6JrsAAADc&#10;AAAADwAAAAAAAAABACAAAAAiAAAAZHJzL2Rvd25yZXYueG1sUEsBAhQAFAAAAAgAh07iQDMvBZ47&#10;AAAAOQAAABAAAAAAAAAAAQAgAAAACgEAAGRycy9zaGFwZXhtbC54bWxQSwUGAAAAAAYABgBbAQAA&#10;tAMAAAAA&#10;">
                      <v:fill on="t" opacity="32895f" focussize="0,0"/>
                      <v:stroke weight="1pt" color="#FFFFFF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spacing w:before="163" w:beforeLines="50"/>
            <w:ind w:firstLine="490"/>
            <w:rPr>
              <w:rFonts w:ascii="楷体" w:hAnsi="楷体" w:eastAsia="楷体"/>
              <w:b/>
              <w:color w:val="0F243E"/>
            </w:rPr>
          </w:pPr>
          <w:r>
            <w:rPr>
              <w:rFonts w:hint="eastAsia" w:ascii="楷体" w:hAnsi="楷体" w:eastAsia="楷体"/>
              <w:b/>
              <w:color w:val="0F243E"/>
            </w:rPr>
            <w:t>服务热线：400-183-6868</w:t>
          </w:r>
        </w:p>
        <w:p>
          <w:pPr>
            <w:spacing w:before="163" w:beforeLines="50"/>
            <w:ind w:firstLine="490"/>
            <w:rPr>
              <w:rFonts w:ascii="楷体" w:hAnsi="楷体" w:eastAsia="楷体"/>
              <w:b/>
              <w:color w:val="0F243E"/>
            </w:rPr>
          </w:pPr>
          <w:r>
            <w:rPr>
              <w:rFonts w:hint="eastAsia" w:ascii="楷体" w:hAnsi="楷体" w:eastAsia="楷体"/>
              <w:b/>
              <w:color w:val="0F243E"/>
            </w:rPr>
            <w:t>E-mail：</w:t>
          </w:r>
          <w:r>
            <w:fldChar w:fldCharType="begin"/>
          </w:r>
          <w:r>
            <w:instrText xml:space="preserve"> HYPERLINK "mailto:info@gddlkj.com" </w:instrText>
          </w:r>
          <w:r>
            <w:fldChar w:fldCharType="separate"/>
          </w:r>
          <w:r>
            <w:rPr>
              <w:rStyle w:val="25"/>
              <w:rFonts w:hint="eastAsia" w:ascii="楷体" w:hAnsi="楷体" w:eastAsia="楷体"/>
              <w:b/>
              <w:color w:val="0F243E"/>
            </w:rPr>
            <w:t>info@gddlkj.com</w:t>
          </w:r>
          <w:r>
            <w:rPr>
              <w:rStyle w:val="25"/>
              <w:rFonts w:hint="eastAsia" w:ascii="楷体" w:hAnsi="楷体" w:eastAsia="楷体"/>
              <w:b/>
              <w:color w:val="0F243E"/>
            </w:rPr>
            <w:fldChar w:fldCharType="end"/>
          </w:r>
        </w:p>
        <w:p>
          <w:pPr>
            <w:spacing w:before="163" w:beforeLines="50"/>
            <w:ind w:firstLine="490"/>
            <w:rPr>
              <w:rFonts w:ascii="楷体" w:hAnsi="楷体" w:eastAsia="楷体"/>
              <w:b/>
              <w:color w:val="0F243E"/>
            </w:rPr>
          </w:pPr>
          <w:r>
            <w:rPr>
              <w:rFonts w:hint="eastAsia" w:ascii="楷体" w:hAnsi="楷体" w:eastAsia="楷体"/>
              <w:b/>
              <w:color w:val="0F243E"/>
            </w:rPr>
            <w:t>邮编：529000</w:t>
          </w:r>
        </w:p>
        <w:p>
          <w:pPr>
            <w:spacing w:before="163" w:beforeLines="50"/>
            <w:ind w:firstLine="490"/>
            <w:rPr>
              <w:rFonts w:ascii="楷体" w:hAnsi="楷体" w:eastAsia="楷体"/>
              <w:b/>
              <w:color w:val="0F243E"/>
            </w:rPr>
          </w:pPr>
          <w:r>
            <w:rPr>
              <w:rFonts w:hint="eastAsia" w:ascii="楷体" w:hAnsi="楷体" w:eastAsia="楷体"/>
              <w:b/>
              <w:color w:val="0F243E"/>
            </w:rPr>
            <w:t>地址：广东省江门市蓬江区港口二路17号</w:t>
          </w:r>
        </w:p>
        <w:p>
          <w:pPr>
            <w:widowControl/>
            <w:spacing w:line="240" w:lineRule="auto"/>
            <w:ind w:firstLine="488"/>
            <w:jc w:val="left"/>
          </w:pPr>
          <w:r>
            <mc:AlternateContent>
              <mc:Choice Requires="wps">
                <w:drawing>
                  <wp:anchor distT="0" distB="0" distL="182880" distR="182880" simplePos="0" relativeHeight="25166540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1355725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文本框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jc w:val="center"/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bCs/>
                                    <w:sz w:val="52"/>
                                    <w:szCs w:val="52"/>
                                    <w:lang w:eastAsia="zh-CN"/>
                                  </w:rPr>
                                  <w:t>集约化平台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操作手册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106.75pt;margin-top:454.6pt;height:529.2pt;width:369pt;mso-position-horizontal-relative:page;mso-position-vertical-relative:page;mso-wrap-distance-bottom:0pt;mso-wrap-distance-left:14.4pt;mso-wrap-distance-right:14.4pt;mso-wrap-distance-top:0pt;z-index:251665408;mso-width-relative:margin;mso-height-relative:page;mso-width-percent:790;mso-height-percent:350;" filled="f" stroked="f" coordsize="21600,21600" o:gfxdata="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3/inbXAAAA&#10;BgEAAA8AAAAAAAAAAQAgAAAAIgAAAGRycy9kb3ducmV2LnhtbFBLAQIUABQAAAAIAIdO4kAipiYi&#10;HgIAABsEAAAOAAAAAAAAAAEAIAAAACYBAABkcnMvZTJvRG9jLnhtbFBLBQYAAAAABgAGAFkBAAC2&#10;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sz w:val="52"/>
                              <w:szCs w:val="52"/>
                              <w:lang w:eastAsia="zh-CN"/>
                            </w:rPr>
                            <w:t>集约化平台</w:t>
                          </w:r>
                          <w:r>
                            <w:rPr>
                              <w:rFonts w:hint="eastAsia" w:ascii="宋体" w:hAnsi="宋体" w:eastAsia="宋体"/>
                              <w:b/>
                              <w:bCs/>
                              <w:sz w:val="52"/>
                              <w:szCs w:val="52"/>
                            </w:rPr>
                            <w:t>操作手册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imes New Roman" w:hAnsi="Times New Roman" w:eastAsia="宋体" w:cs="Times New Roman"/>
          <w:b w:val="0"/>
          <w:color w:val="auto"/>
          <w:kern w:val="2"/>
          <w:sz w:val="24"/>
          <w:szCs w:val="24"/>
          <w:lang w:val="zh-CN"/>
        </w:rPr>
        <w:id w:val="1387611580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 w:val="0"/>
          <w:bCs/>
          <w:color w:val="auto"/>
          <w:kern w:val="2"/>
          <w:sz w:val="24"/>
          <w:szCs w:val="21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8"/>
            <w:tabs>
              <w:tab w:val="right" w:leader="dot" w:pos="9026"/>
            </w:tabs>
          </w:pPr>
          <w:bookmarkStart w:id="18" w:name="_GoBack"/>
          <w:bookmarkEnd w:id="18"/>
          <w:r>
            <w:rPr>
              <w:rFonts w:ascii="Times" w:hAnsi="Times"/>
            </w:rPr>
            <w:fldChar w:fldCharType="begin"/>
          </w:r>
          <w:r>
            <w:instrText xml:space="preserve"> TOC \o "1-3" \h \z \u </w:instrText>
          </w:r>
          <w:r>
            <w:rPr>
              <w:rFonts w:ascii="Times" w:hAnsi="Times"/>
            </w:rPr>
            <w:fldChar w:fldCharType="separate"/>
          </w:r>
          <w:r>
            <w:rPr>
              <w:rFonts w:ascii="Times" w:hAnsi="Times"/>
            </w:rPr>
            <w:fldChar w:fldCharType="begin"/>
          </w:r>
          <w:r>
            <w:rPr>
              <w:rFonts w:ascii="Times" w:hAnsi="Times"/>
            </w:rPr>
            <w:instrText xml:space="preserve"> HYPERLINK \l _Toc13778 </w:instrText>
          </w:r>
          <w:r>
            <w:rPr>
              <w:rFonts w:ascii="Times" w:hAnsi="Times"/>
            </w:rPr>
            <w:fldChar w:fldCharType="separate"/>
          </w:r>
          <w:r>
            <w:rPr>
              <w:rFonts w:hint="eastAsia"/>
              <w:lang w:eastAsia="zh-CN"/>
            </w:rPr>
            <w:t>1. 新闻录入</w:t>
          </w:r>
          <w:r>
            <w:tab/>
          </w:r>
          <w:r>
            <w:fldChar w:fldCharType="begin"/>
          </w:r>
          <w:r>
            <w:instrText xml:space="preserve"> PAGEREF _Toc13778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" w:hAnsi="Times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1.1 </w:t>
          </w:r>
          <w:r>
            <w:rPr>
              <w:rFonts w:hint="eastAsia"/>
              <w:lang w:val="en-US" w:eastAsia="zh-CN"/>
            </w:rPr>
            <w:t>文字型稿件</w:t>
          </w:r>
          <w:r>
            <w:tab/>
          </w:r>
          <w:r>
            <w:fldChar w:fldCharType="begin"/>
          </w:r>
          <w:r>
            <w:instrText xml:space="preserve"> PAGEREF _Toc808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_Toc14023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1.1.1 </w:t>
          </w:r>
          <w:r>
            <w:rPr>
              <w:rFonts w:hint="eastAsia"/>
              <w:lang w:val="en-US" w:eastAsia="zh-CN"/>
            </w:rPr>
            <w:t>直接编辑</w:t>
          </w:r>
          <w:r>
            <w:tab/>
          </w:r>
          <w:r>
            <w:fldChar w:fldCharType="begin"/>
          </w:r>
          <w:r>
            <w:instrText xml:space="preserve"> PAGEREF _Toc14023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_Toc14067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1.1.2 </w:t>
          </w:r>
          <w:r>
            <w:rPr>
              <w:rFonts w:hint="eastAsia"/>
              <w:lang w:val="en-US" w:eastAsia="zh-CN"/>
            </w:rPr>
            <w:t>从office创建</w:t>
          </w:r>
          <w:r>
            <w:tab/>
          </w:r>
          <w:r>
            <w:fldChar w:fldCharType="begin"/>
          </w:r>
          <w:r>
            <w:instrText xml:space="preserve"> PAGEREF _Toc14067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1.2 </w:t>
          </w:r>
          <w:r>
            <w:rPr>
              <w:rFonts w:hint="eastAsia"/>
              <w:lang w:val="en-US" w:eastAsia="zh-CN"/>
            </w:rPr>
            <w:t>链接型稿件</w:t>
          </w:r>
          <w:r>
            <w:tab/>
          </w:r>
          <w:r>
            <w:fldChar w:fldCharType="begin"/>
          </w:r>
          <w:r>
            <w:instrText xml:space="preserve"> PAGEREF _Toc23432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_Toc23535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1.3 </w:t>
          </w:r>
          <w:r>
            <w:rPr>
              <w:rFonts w:hint="eastAsia"/>
              <w:lang w:val="en-US" w:eastAsia="zh-CN"/>
            </w:rPr>
            <w:t>文件型稿件</w:t>
          </w:r>
          <w:r>
            <w:tab/>
          </w:r>
          <w:r>
            <w:fldChar w:fldCharType="begin"/>
          </w:r>
          <w:r>
            <w:instrText xml:space="preserve"> PAGEREF _Toc23535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_Toc14328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 稿件引用</w:t>
          </w:r>
          <w:r>
            <w:tab/>
          </w:r>
          <w:r>
            <w:fldChar w:fldCharType="begin"/>
          </w:r>
          <w:r>
            <w:instrText xml:space="preserve"> PAGEREF _Toc14328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_Toc21780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2.1 </w:t>
          </w:r>
          <w:r>
            <w:rPr>
              <w:rFonts w:hint="eastAsia"/>
              <w:lang w:val="en-US" w:eastAsia="zh-CN"/>
            </w:rPr>
            <w:t>链接引用</w:t>
          </w:r>
          <w:r>
            <w:tab/>
          </w:r>
          <w:r>
            <w:fldChar w:fldCharType="begin"/>
          </w:r>
          <w:r>
            <w:instrText xml:space="preserve"> PAGEREF _Toc21780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eastAsia="zh-CN"/>
            </w:rPr>
            <w:t xml:space="preserve">2.2 </w:t>
          </w:r>
          <w:r>
            <w:rPr>
              <w:rFonts w:hint="eastAsia"/>
              <w:lang w:eastAsia="zh-CN"/>
            </w:rPr>
            <w:t>镜像引用</w:t>
          </w:r>
          <w:r>
            <w:tab/>
          </w:r>
          <w:r>
            <w:fldChar w:fldCharType="begin"/>
          </w:r>
          <w:r>
            <w:instrText xml:space="preserve"> PAGEREF _Toc20296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eastAsia="zh-CN"/>
            </w:rPr>
            <w:t xml:space="preserve">2.3 </w:t>
          </w:r>
          <w:r>
            <w:rPr>
              <w:rFonts w:hint="eastAsia"/>
              <w:lang w:eastAsia="zh-CN"/>
            </w:rPr>
            <w:t>复制引用</w:t>
          </w:r>
          <w:r>
            <w:tab/>
          </w:r>
          <w:r>
            <w:fldChar w:fldCharType="begin"/>
          </w:r>
          <w:r>
            <w:instrText xml:space="preserve"> PAGEREF _Toc31874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3. 底部图片广告发布</w:t>
          </w:r>
          <w:r>
            <w:tab/>
          </w:r>
          <w:r>
            <w:fldChar w:fldCharType="begin"/>
          </w:r>
          <w:r>
            <w:instrText xml:space="preserve"> PAGEREF _Toc12295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_Toc30667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4. 修改已编辑的内容</w:t>
          </w:r>
          <w:r>
            <w:tab/>
          </w:r>
          <w:r>
            <w:fldChar w:fldCharType="begin"/>
          </w:r>
          <w:r>
            <w:instrText xml:space="preserve"> PAGEREF _Toc30667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_Toc32181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5. 撤销发布</w:t>
          </w:r>
          <w:r>
            <w:tab/>
          </w:r>
          <w:r>
            <w:fldChar w:fldCharType="begin"/>
          </w:r>
          <w:r>
            <w:instrText xml:space="preserve"> PAGEREF _Toc32181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5.1 </w:t>
          </w:r>
          <w:r>
            <w:rPr>
              <w:rFonts w:hint="eastAsia"/>
              <w:lang w:val="en-US" w:eastAsia="zh-CN"/>
            </w:rPr>
            <w:t>直接撤销</w:t>
          </w:r>
          <w:r>
            <w:tab/>
          </w:r>
          <w:r>
            <w:fldChar w:fldCharType="begin"/>
          </w:r>
          <w:r>
            <w:instrText xml:space="preserve"> PAGEREF _Toc1990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_Toc15321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5.2 </w:t>
          </w:r>
          <w:r>
            <w:rPr>
              <w:rFonts w:hint="eastAsia"/>
              <w:lang w:eastAsia="zh-CN"/>
            </w:rPr>
            <w:t>定时撤销</w:t>
          </w:r>
          <w:r>
            <w:tab/>
          </w:r>
          <w:r>
            <w:fldChar w:fldCharType="begin"/>
          </w:r>
          <w:r>
            <w:instrText xml:space="preserve"> PAGEREF _Toc15321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_Toc30653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6. 删除稿件</w:t>
          </w:r>
          <w:r>
            <w:tab/>
          </w:r>
          <w:r>
            <w:fldChar w:fldCharType="begin"/>
          </w:r>
          <w:r>
            <w:instrText xml:space="preserve"> PAGEREF _Toc30653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_Toc3823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7. 网上信访</w:t>
          </w:r>
          <w:r>
            <w:tab/>
          </w:r>
          <w:r>
            <w:fldChar w:fldCharType="begin"/>
          </w:r>
          <w:r>
            <w:instrText xml:space="preserve"> PAGEREF _Toc3823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2"/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spacing w:line="480" w:lineRule="auto"/>
        <w:ind w:left="1508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440" w:bottom="1440" w:left="1440" w:header="851" w:footer="992" w:gutter="0"/>
          <w:pgNumType w:start="0"/>
          <w:cols w:space="425" w:num="1"/>
          <w:titlePg/>
          <w:docGrid w:type="linesAndChars" w:linePitch="326" w:charSpace="808"/>
        </w:sectPr>
      </w:pPr>
      <w:bookmarkStart w:id="0" w:name="_Toc490137934"/>
    </w:p>
    <w:bookmarkEnd w:id="0"/>
    <w:p>
      <w:pPr>
        <w:pStyle w:val="2"/>
        <w:bidi w:val="0"/>
        <w:rPr>
          <w:rFonts w:hint="eastAsia"/>
          <w:lang w:eastAsia="zh-CN"/>
        </w:rPr>
      </w:pPr>
      <w:bookmarkStart w:id="1" w:name="_Toc13778"/>
      <w:r>
        <w:rPr>
          <w:rFonts w:hint="eastAsia"/>
          <w:lang w:eastAsia="zh-CN"/>
        </w:rPr>
        <w:t>新闻录入</w:t>
      </w:r>
      <w:bookmarkEnd w:id="1"/>
    </w:p>
    <w:p>
      <w:pPr>
        <w:pStyle w:val="3"/>
        <w:bidi w:val="0"/>
        <w:rPr>
          <w:rFonts w:hint="default"/>
          <w:lang w:val="en-US" w:eastAsia="zh-CN"/>
        </w:rPr>
      </w:pPr>
      <w:bookmarkStart w:id="2" w:name="_Toc808"/>
      <w:r>
        <w:rPr>
          <w:rFonts w:hint="eastAsia"/>
          <w:lang w:val="en-US" w:eastAsia="zh-CN"/>
        </w:rPr>
        <w:t>文字型稿件</w:t>
      </w:r>
      <w:bookmarkEnd w:id="2"/>
    </w:p>
    <w:p>
      <w:pPr>
        <w:pStyle w:val="4"/>
        <w:bidi w:val="0"/>
        <w:rPr>
          <w:rFonts w:hint="default"/>
          <w:lang w:val="en-US" w:eastAsia="zh-CN"/>
        </w:rPr>
      </w:pPr>
      <w:bookmarkStart w:id="3" w:name="_Toc14023"/>
      <w:r>
        <w:rPr>
          <w:rFonts w:hint="eastAsia"/>
          <w:lang w:val="en-US" w:eastAsia="zh-CN"/>
        </w:rPr>
        <w:t>直接编辑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直接点击“新建”按钮，默认为文字型稿件。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无需送审</w:t>
      </w:r>
      <w:r>
        <w:rPr>
          <w:rFonts w:hint="eastAsia"/>
          <w:lang w:val="en-US" w:eastAsia="zh-CN"/>
        </w:rPr>
        <w:t>:编辑内容后直接点击“普通发布”。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需送审</w:t>
      </w:r>
      <w:r>
        <w:rPr>
          <w:rFonts w:hint="eastAsia"/>
          <w:lang w:val="en-US" w:eastAsia="zh-CN"/>
        </w:rPr>
        <w:t>:编辑内容后直接点击“送审”。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管理员在“待审”状态下打开查看稿件无问题后直接点击“普通发布”即可。</w:t>
      </w:r>
    </w:p>
    <w:p>
      <w:r>
        <w:drawing>
          <wp:inline distT="0" distB="0" distL="114300" distR="114300">
            <wp:extent cx="5722620" cy="2678430"/>
            <wp:effectExtent l="0" t="0" r="1143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常用功能</w:t>
      </w:r>
      <w:r>
        <w:rPr>
          <w:rFonts w:hint="eastAsia"/>
          <w:b/>
          <w:bCs/>
          <w:lang w:val="en-US" w:eastAsia="zh-CN"/>
        </w:rPr>
        <w:t>: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76225" cy="31432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从文件导入（编辑区）:</w:t>
      </w:r>
      <w:r>
        <w:rPr>
          <w:rFonts w:hint="eastAsia"/>
          <w:lang w:val="en-US" w:eastAsia="zh-CN"/>
        </w:rPr>
        <w:t>直接编辑好文本后直接导入即可。支持格式：doc、docx、xls、xlsx 文件大小不超过300M。</w:t>
      </w:r>
    </w:p>
    <w:p>
      <w:r>
        <w:drawing>
          <wp:inline distT="0" distB="0" distL="114300" distR="114300">
            <wp:extent cx="5730875" cy="439420"/>
            <wp:effectExtent l="0" t="0" r="3175" b="1778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95275" cy="2857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t>首行缩进（编辑区）</w:t>
      </w:r>
      <w:r>
        <w:rPr>
          <w:rFonts w:hint="eastAsia"/>
          <w:b/>
          <w:bCs/>
          <w:lang w:val="en-US" w:eastAsia="zh-CN"/>
        </w:rPr>
        <w:t>:</w:t>
      </w:r>
      <w:r>
        <w:rPr>
          <w:rFonts w:hint="eastAsia"/>
          <w:lang w:val="en-US" w:eastAsia="zh-CN"/>
        </w:rPr>
        <w:t>点击后首行会自动缩进两个字符。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5160" cy="489585"/>
            <wp:effectExtent l="0" t="0" r="889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多图上传（编辑区）</w:t>
      </w:r>
      <w:r>
        <w:rPr>
          <w:rFonts w:hint="eastAsia"/>
          <w:b/>
          <w:bCs/>
          <w:lang w:val="en-US" w:eastAsia="zh-CN"/>
        </w:rPr>
        <w:t>:</w:t>
      </w:r>
      <w:r>
        <w:rPr>
          <w:rFonts w:hint="eastAsia"/>
          <w:lang w:val="en-US" w:eastAsia="zh-CN"/>
        </w:rPr>
        <w:t>编辑区要插入图片时使用。支持格式jpg,jpeg,gif,png,bmp 文件大小不超过100M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7700" cy="435610"/>
            <wp:effectExtent l="0" t="0" r="6350" b="25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来源（属性信息）:</w:t>
      </w:r>
      <w:r>
        <w:rPr>
          <w:rFonts w:hint="eastAsia"/>
          <w:b w:val="0"/>
          <w:bCs w:val="0"/>
          <w:lang w:val="en-US" w:eastAsia="zh-CN"/>
        </w:rPr>
        <w:t>来源必须要填写的，如无特殊情况统一填写“开平市人民法院”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撰写时间（属性信息）:</w:t>
      </w:r>
      <w:r>
        <w:rPr>
          <w:rFonts w:hint="eastAsia"/>
          <w:b w:val="0"/>
          <w:bCs w:val="0"/>
          <w:lang w:val="en-US" w:eastAsia="zh-CN"/>
        </w:rPr>
        <w:t>一般默认为当前发布时间，如补录信息，则可在此处修改撰写时间，修改后，前台显示的发布时间就会变成这个时间。</w:t>
      </w:r>
    </w:p>
    <w:p>
      <w:pPr>
        <w:jc w:val="center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4301490" cy="2552700"/>
            <wp:effectExtent l="0" t="0" r="381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相关图片（附件信息）:</w:t>
      </w:r>
      <w:r>
        <w:rPr>
          <w:rFonts w:hint="eastAsia"/>
          <w:b w:val="0"/>
          <w:bCs w:val="0"/>
          <w:lang w:val="en-US" w:eastAsia="zh-CN"/>
        </w:rPr>
        <w:t>一般通用在首页图片新闻栏目，需要在此处上传图片后前台才可正常显示该稿件。支持上传小于100M，格式为jpg,jpeg,gif,png,bmp的图片。图片张数不可超过70张。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相关视频（附件信息）:</w:t>
      </w:r>
      <w:r>
        <w:rPr>
          <w:rFonts w:hint="eastAsia"/>
          <w:b w:val="0"/>
          <w:bCs w:val="0"/>
          <w:lang w:val="en-US" w:eastAsia="zh-CN"/>
        </w:rPr>
        <w:t>主要适用于视频的稿件，请勿在编辑区的视频编辑，会显示异常的。支持格式avi,flv,mp4,rmvb,wmv,rm,wma 文件大小不超过250M。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相关附件（附件信息）:</w:t>
      </w:r>
      <w:r>
        <w:rPr>
          <w:rFonts w:hint="eastAsia"/>
          <w:b w:val="0"/>
          <w:bCs w:val="0"/>
          <w:lang w:val="en-US" w:eastAsia="zh-CN"/>
        </w:rPr>
        <w:t>支持常用文档格式、图片格式、音频视频格式和压缩包格式的文件，单个文件大小不超过300M</w:t>
      </w:r>
    </w:p>
    <w:p>
      <w:pPr>
        <w:jc w:val="center"/>
      </w:pPr>
      <w:r>
        <w:drawing>
          <wp:inline distT="0" distB="0" distL="114300" distR="114300">
            <wp:extent cx="3703955" cy="2254885"/>
            <wp:effectExtent l="0" t="0" r="10795" b="120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保存:</w:t>
      </w:r>
      <w:r>
        <w:rPr>
          <w:rFonts w:hint="eastAsia"/>
          <w:lang w:val="en-US" w:eastAsia="zh-CN"/>
        </w:rPr>
        <w:t>对已编辑的内容进行保存，但未发布。稿件在【待编】或【全部】列表显示。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保存并关闭:</w:t>
      </w:r>
      <w:r>
        <w:rPr>
          <w:rFonts w:hint="eastAsia"/>
          <w:lang w:val="en-US" w:eastAsia="zh-CN"/>
        </w:rPr>
        <w:t>对已编辑的内容进行保存后并自动关闭编辑页面，内容未发布。稿件在【待编】或【全部】列表显示。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保存并新建:</w:t>
      </w:r>
      <w:r>
        <w:rPr>
          <w:rFonts w:hint="eastAsia"/>
          <w:lang w:val="en-US" w:eastAsia="zh-CN"/>
        </w:rPr>
        <w:t>保存已编辑的内容，并自动打开一个全新的编辑页面，内容未发布。稿件在【待编】或【全部】列表显示。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发布并新建:</w:t>
      </w:r>
      <w:r>
        <w:rPr>
          <w:rFonts w:hint="eastAsia"/>
          <w:lang w:val="en-US" w:eastAsia="zh-CN"/>
        </w:rPr>
        <w:t>保存并发布已编辑的内容，并自动打开一个全新的编辑页面。稿件在【已发】和【全部】显示。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预览:</w:t>
      </w:r>
      <w:r>
        <w:rPr>
          <w:rFonts w:hint="eastAsia"/>
          <w:lang w:val="en-US" w:eastAsia="zh-CN"/>
        </w:rPr>
        <w:t>可对本页面的内容进行预览，预览的结果与前台显示的一致。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送审:</w:t>
      </w:r>
      <w:r>
        <w:rPr>
          <w:rFonts w:hint="eastAsia"/>
          <w:lang w:val="en-US" w:eastAsia="zh-CN"/>
        </w:rPr>
        <w:t>适用于没有发布权限的人员，编辑内容后点击“送审”，管理员在【待审】状态中查看。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27700" cy="351155"/>
            <wp:effectExtent l="0" t="0" r="6350" b="1079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14067"/>
      <w:r>
        <w:rPr>
          <w:rFonts w:hint="eastAsia"/>
          <w:lang w:val="en-US" w:eastAsia="zh-CN"/>
        </w:rPr>
        <w:t>从office创建</w:t>
      </w:r>
      <w:bookmarkEnd w:id="4"/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第一步:</w:t>
      </w:r>
      <w:r>
        <w:rPr>
          <w:rFonts w:hint="eastAsia"/>
          <w:b w:val="0"/>
          <w:bCs w:val="0"/>
          <w:lang w:val="en-US" w:eastAsia="zh-CN"/>
        </w:rPr>
        <w:t>选择相应栏目后，点击“更多”按钮，选择“从office创建”。</w:t>
      </w:r>
    </w:p>
    <w:p>
      <w:r>
        <w:drawing>
          <wp:inline distT="0" distB="0" distL="114300" distR="114300">
            <wp:extent cx="5727065" cy="1544320"/>
            <wp:effectExtent l="0" t="0" r="6985" b="177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第二步</w:t>
      </w:r>
      <w:r>
        <w:rPr>
          <w:rFonts w:hint="eastAsia"/>
          <w:b/>
          <w:bCs/>
          <w:lang w:val="en-US" w:eastAsia="zh-CN"/>
        </w:rPr>
        <w:t>:</w:t>
      </w:r>
      <w:r>
        <w:rPr>
          <w:rFonts w:hint="eastAsia"/>
          <w:lang w:val="en-US" w:eastAsia="zh-CN"/>
        </w:rPr>
        <w:t>弹出以下窗口，直接选择文件</w:t>
      </w:r>
      <w:r>
        <w:rPr>
          <w:rFonts w:hint="eastAsia"/>
          <w:b w:val="0"/>
          <w:bCs w:val="0"/>
          <w:lang w:val="en-US" w:eastAsia="zh-CN"/>
        </w:rPr>
        <w:t>即可直接导入需要发布的稿件内容。</w:t>
      </w:r>
    </w:p>
    <w:p>
      <w:r>
        <w:drawing>
          <wp:inline distT="0" distB="0" distL="114300" distR="114300">
            <wp:extent cx="3990975" cy="2524125"/>
            <wp:effectExtent l="0" t="0" r="952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第三步</w:t>
      </w:r>
      <w:r>
        <w:rPr>
          <w:rFonts w:hint="eastAsia"/>
          <w:b/>
          <w:bCs/>
          <w:lang w:val="en-US" w:eastAsia="zh-CN"/>
        </w:rPr>
        <w:t>:</w:t>
      </w:r>
      <w:r>
        <w:rPr>
          <w:rFonts w:hint="eastAsia"/>
          <w:lang w:val="en-US" w:eastAsia="zh-CN"/>
        </w:rPr>
        <w:t>导入后自动跳转至编辑页面，检查排版或内容无误后，直接点击“普通发布”即可。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7700" cy="2102485"/>
            <wp:effectExtent l="0" t="0" r="6350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23432"/>
      <w:r>
        <w:rPr>
          <w:rFonts w:hint="eastAsia"/>
          <w:lang w:val="en-US" w:eastAsia="zh-CN"/>
        </w:rPr>
        <w:t>链接型稿件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创建链接型稿件成功并发布后，在前台查看时，点击文档标题即可跳转至所设定的链接上。</w:t>
      </w:r>
    </w:p>
    <w:p>
      <w:pPr>
        <w:rPr>
          <w:rFonts w:hint="eastAsia"/>
        </w:rPr>
      </w:pPr>
      <w:r>
        <w:rPr>
          <w:rFonts w:hint="eastAsia"/>
        </w:rPr>
        <w:t>当链接地址过长的时候，保存报错或发布失败的时候，可通过长地址转换成短地址。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可通过以下地址参考：http://dwz.cn/、htttp://sina.lt</w:t>
      </w:r>
    </w:p>
    <w:p>
      <w:r>
        <w:drawing>
          <wp:inline distT="0" distB="0" distL="114300" distR="114300">
            <wp:extent cx="5723890" cy="1471295"/>
            <wp:effectExtent l="0" t="0" r="10160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lang w:val="en-US" w:eastAsia="zh-CN"/>
        </w:rPr>
      </w:pPr>
      <w:bookmarkStart w:id="6" w:name="_Toc23535"/>
      <w:r>
        <w:rPr>
          <w:rFonts w:hint="eastAsia"/>
          <w:lang w:val="en-US" w:eastAsia="zh-CN"/>
        </w:rPr>
        <w:t>文件型稿件</w:t>
      </w:r>
      <w:bookmarkEnd w:id="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创建成功后，在前台点击标题就可对上传的文件进行下载或查看。</w:t>
      </w:r>
    </w:p>
    <w:p>
      <w:r>
        <w:drawing>
          <wp:inline distT="0" distB="0" distL="114300" distR="114300">
            <wp:extent cx="5719445" cy="1807210"/>
            <wp:effectExtent l="0" t="0" r="14605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14328"/>
      <w:r>
        <w:rPr>
          <w:rFonts w:hint="eastAsia"/>
          <w:lang w:val="en-US" w:eastAsia="zh-CN"/>
        </w:rPr>
        <w:t>稿件引用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引用功能包含链接引用、镜像引用、复制引用。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操作方法:</w:t>
      </w:r>
      <w:r>
        <w:rPr>
          <w:rFonts w:hint="eastAsia"/>
          <w:lang w:val="en-US" w:eastAsia="zh-CN"/>
        </w:rPr>
        <w:t>选择需引用的稿件A--点击引用--选择需要的引用类型--选择需要引用到的栏目B--发布至引用文档-确定。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21780"/>
      <w:r>
        <w:rPr>
          <w:rFonts w:hint="eastAsia"/>
          <w:lang w:val="en-US" w:eastAsia="zh-CN"/>
        </w:rPr>
        <w:t>链接引用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在A栏目“链接引用”稿件到B栏目后，在B栏目打开该稿件时会跳转到A栏目所设置的页面，当A栏目对内容进行变更，B栏目也会随之变更。</w:t>
      </w:r>
    </w:p>
    <w:p>
      <w:r>
        <w:drawing>
          <wp:inline distT="0" distB="0" distL="114300" distR="114300">
            <wp:extent cx="5718810" cy="2829560"/>
            <wp:effectExtent l="0" t="0" r="1524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9" w:name="_Toc20296"/>
      <w:r>
        <w:rPr>
          <w:rFonts w:hint="eastAsia"/>
          <w:lang w:eastAsia="zh-CN"/>
        </w:rPr>
        <w:t>镜像引用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可解释为一面镜子。当</w:t>
      </w:r>
      <w:r>
        <w:rPr>
          <w:rFonts w:hint="eastAsia"/>
          <w:lang w:val="en-US" w:eastAsia="zh-CN"/>
        </w:rPr>
        <w:t>A栏目“镜像引用”到B栏目，在前台查看时两个栏目所看到的内容都是一致的，当A栏目变更时，B栏目随之变更。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719445" cy="1735455"/>
            <wp:effectExtent l="0" t="0" r="14605" b="171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10" w:name="_Toc31874"/>
      <w:r>
        <w:rPr>
          <w:rFonts w:hint="eastAsia"/>
          <w:lang w:eastAsia="zh-CN"/>
        </w:rPr>
        <w:t>复制引用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顾名思义就是复制一份一模一样的稿件。当</w:t>
      </w:r>
      <w:r>
        <w:rPr>
          <w:rFonts w:hint="eastAsia"/>
          <w:lang w:val="en-US" w:eastAsia="zh-CN"/>
        </w:rPr>
        <w:t>A栏目“复制引用”到B栏目，只是单纯地复制稿件过去，当A栏目变更时，B栏目不会有变化。</w:t>
      </w:r>
    </w:p>
    <w:p>
      <w:r>
        <w:drawing>
          <wp:inline distT="0" distB="0" distL="114300" distR="114300">
            <wp:extent cx="5728970" cy="1591945"/>
            <wp:effectExtent l="0" t="0" r="5080" b="82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bookmarkStart w:id="11" w:name="_Toc12295"/>
      <w:r>
        <w:rPr>
          <w:rFonts w:hint="eastAsia"/>
          <w:lang w:eastAsia="zh-CN"/>
        </w:rPr>
        <w:t>底部图片广告发布</w:t>
      </w:r>
      <w:bookmarkEnd w:id="11"/>
    </w:p>
    <w:p>
      <w:pPr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适用于右下角图片广告、底部图片广告、中间横幅、</w:t>
      </w:r>
      <w:r>
        <w:rPr>
          <w:rFonts w:hint="eastAsia"/>
          <w:color w:val="auto"/>
          <w:lang w:val="en-US" w:eastAsia="zh-CN"/>
        </w:rPr>
        <w:t>法院链接、友情链接等</w:t>
      </w:r>
      <w:r>
        <w:rPr>
          <w:rFonts w:hint="eastAsia"/>
          <w:color w:val="auto"/>
          <w:lang w:eastAsia="zh-CN"/>
        </w:rPr>
        <w:t>栏目。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栏目位置</w:t>
      </w:r>
      <w:r>
        <w:rPr>
          <w:rFonts w:hint="eastAsia"/>
          <w:b/>
          <w:bCs/>
          <w:lang w:val="en-US" w:eastAsia="zh-CN"/>
        </w:rPr>
        <w:t>:</w:t>
      </w:r>
      <w:r>
        <w:rPr>
          <w:rFonts w:hint="eastAsia"/>
          <w:lang w:val="en-US" w:eastAsia="zh-CN"/>
        </w:rPr>
        <w:t>辅助栏目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第一步:</w:t>
      </w:r>
      <w:r>
        <w:rPr>
          <w:rFonts w:hint="eastAsia"/>
          <w:lang w:val="en-US" w:eastAsia="zh-CN"/>
        </w:rPr>
        <w:t>选择需要编辑的栏目--新建链接型稿件</w:t>
      </w:r>
    </w:p>
    <w:p>
      <w:r>
        <w:drawing>
          <wp:inline distT="0" distB="0" distL="114300" distR="114300">
            <wp:extent cx="5719445" cy="2705100"/>
            <wp:effectExtent l="0" t="0" r="14605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第二步</w:t>
      </w:r>
      <w:r>
        <w:rPr>
          <w:rFonts w:hint="eastAsia"/>
          <w:b/>
          <w:bCs/>
          <w:lang w:val="en-US" w:eastAsia="zh-CN"/>
        </w:rPr>
        <w:t>:</w:t>
      </w:r>
      <w:r>
        <w:rPr>
          <w:rFonts w:hint="eastAsia"/>
          <w:lang w:val="en-US" w:eastAsia="zh-CN"/>
        </w:rPr>
        <w:t>编写文档标题、链接地址、来源等信息后，在相关图片处上传图片后发布即可。</w:t>
      </w:r>
    </w:p>
    <w:p>
      <w:pPr>
        <w:rPr>
          <w:color w:val="FF0000"/>
        </w:rPr>
      </w:pPr>
      <w:r>
        <w:rPr>
          <w:rFonts w:hint="eastAsia"/>
          <w:color w:val="FF0000"/>
          <w:lang w:val="en-US" w:eastAsia="zh-CN"/>
        </w:rPr>
        <w:t>注意:法院链接、友情链接栏目无需上传相关图片。</w:t>
      </w:r>
    </w:p>
    <w:p>
      <w:r>
        <w:drawing>
          <wp:inline distT="0" distB="0" distL="114300" distR="114300">
            <wp:extent cx="5181600" cy="1885950"/>
            <wp:effectExtent l="0" t="0" r="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bookmarkStart w:id="12" w:name="_Toc30667"/>
      <w:r>
        <w:rPr>
          <w:rFonts w:hint="eastAsia"/>
          <w:lang w:eastAsia="zh-CN"/>
        </w:rPr>
        <w:t>修改已编辑的内容</w:t>
      </w:r>
      <w:bookmarkEnd w:id="12"/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点击需要修改内容稿件的标题，则跳转入编辑页面。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727065" cy="1381125"/>
            <wp:effectExtent l="0" t="0" r="6985" b="952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重新编辑后直接点击“普通发布”即可。</w:t>
      </w:r>
    </w:p>
    <w:p>
      <w:pPr>
        <w:numPr>
          <w:ilvl w:val="0"/>
          <w:numId w:val="2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如在前台查看稿件有标记“</w:t>
      </w:r>
      <w:r>
        <w:drawing>
          <wp:inline distT="0" distB="0" distL="114300" distR="114300">
            <wp:extent cx="304800" cy="295275"/>
            <wp:effectExtent l="0" t="0" r="0" b="952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”，则证明该稿件重新编辑的内容已做保存，但未重新发布，前台还是显示旧的内容，直接选择该稿件，点击重新发布即可。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729605" cy="2199640"/>
            <wp:effectExtent l="0" t="0" r="4445" b="1016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3" w:name="_Toc32181"/>
      <w:r>
        <w:rPr>
          <w:rFonts w:hint="eastAsia"/>
          <w:lang w:val="en-US" w:eastAsia="zh-CN"/>
        </w:rPr>
        <w:t>撤销发布</w:t>
      </w:r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撤销发布分为直接撤销和定时撤销。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1990"/>
      <w:r>
        <w:rPr>
          <w:rFonts w:hint="eastAsia"/>
          <w:lang w:val="en-US" w:eastAsia="zh-CN"/>
        </w:rPr>
        <w:t>直接撤销</w:t>
      </w:r>
      <w:bookmarkEnd w:id="1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1、选择需要撤销发布的稿件--撤销发布（直接撤销）则会弹出以下窗口，选择撤销到“待编”即可。</w:t>
      </w:r>
    </w:p>
    <w:p>
      <w:r>
        <w:drawing>
          <wp:inline distT="0" distB="0" distL="114300" distR="114300">
            <wp:extent cx="5727700" cy="2624455"/>
            <wp:effectExtent l="0" t="0" r="6350" b="444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2、撤销成功后前台不再显示该稿件，可在后台【待编】和【全部】列表中查看内容。</w:t>
      </w:r>
    </w:p>
    <w:p>
      <w:r>
        <w:drawing>
          <wp:inline distT="0" distB="0" distL="114300" distR="114300">
            <wp:extent cx="5210175" cy="2862580"/>
            <wp:effectExtent l="0" t="0" r="9525" b="1397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15321"/>
      <w:r>
        <w:rPr>
          <w:rFonts w:hint="eastAsia"/>
          <w:lang w:eastAsia="zh-CN"/>
        </w:rPr>
        <w:t>定时撤销</w:t>
      </w:r>
      <w:bookmarkEnd w:id="15"/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择需要撤销发布的稿件--撤销发布（定时撤销）则会弹出以下窗口，选择需要撤销发布的时间，到了所设置的时间点，该稿件就会自动撤销发布。</w:t>
      </w:r>
    </w:p>
    <w:p>
      <w:r>
        <w:drawing>
          <wp:inline distT="0" distB="0" distL="114300" distR="114300">
            <wp:extent cx="4305300" cy="2886075"/>
            <wp:effectExtent l="0" t="0" r="0" b="952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bookmarkStart w:id="16" w:name="_Toc30653"/>
      <w:r>
        <w:rPr>
          <w:rFonts w:hint="eastAsia"/>
          <w:lang w:eastAsia="zh-CN"/>
        </w:rPr>
        <w:t>删除稿件</w:t>
      </w:r>
      <w:bookmarkEnd w:id="16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对于不需要的稿件可以进行删除。选择需要删除的稿件</w:t>
      </w:r>
      <w:r>
        <w:rPr>
          <w:rFonts w:hint="eastAsia"/>
          <w:lang w:val="en-US" w:eastAsia="zh-CN"/>
        </w:rPr>
        <w:t>--更多--删除。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726430" cy="1578610"/>
            <wp:effectExtent l="0" t="0" r="7620" b="254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3823"/>
      <w:r>
        <w:rPr>
          <w:rFonts w:hint="eastAsia"/>
          <w:lang w:val="en-US" w:eastAsia="zh-CN"/>
        </w:rPr>
        <w:t>网上信访</w:t>
      </w:r>
      <w:bookmarkEnd w:id="17"/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在【待分配】页面可查看市民所提交上来的反馈信息。点击</w:t>
      </w:r>
      <w:r>
        <w:drawing>
          <wp:inline distT="0" distB="0" distL="114300" distR="114300">
            <wp:extent cx="447675" cy="400050"/>
            <wp:effectExtent l="0" t="0" r="9525" b="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按钮即可对信件进行编辑和回复。状态显示“未整理、未公开”。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30875" cy="1348740"/>
            <wp:effectExtent l="0" t="0" r="3175" b="381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2、选择“信件分类”，如以上的分类均不符合，则选择其他即可。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9605" cy="2005965"/>
            <wp:effectExtent l="0" t="0" r="4445" b="1333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3、查看信件内容后点击“直接办理”。可对信件内容进行修改，但不建议修改。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731510" cy="892175"/>
            <wp:effectExtent l="0" t="0" r="2540" b="3175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4、点击“直接办理”后弹出以下界面，输入办理意见后点击“确定”即可。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724400" cy="3686175"/>
            <wp:effectExtent l="0" t="0" r="0" b="952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5、办理成功后信件进入【待审核】列表，状态提示“未公开”。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722620" cy="1170305"/>
            <wp:effectExtent l="0" t="0" r="11430" b="1079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点击“编辑”按钮后可对内容进行审核，查看回复内容是否有误。如有问题，则在信件回复重新编辑。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723890" cy="1189355"/>
            <wp:effectExtent l="0" t="0" r="10160" b="10795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如无问题，则直接点击“审核”按钮即可。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981325" cy="638175"/>
            <wp:effectExtent l="0" t="0" r="9525" b="952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eastAsia="宋体"/>
          <w:b w:val="0"/>
          <w:bCs w:val="0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注意</w:t>
      </w:r>
      <w:r>
        <w:rPr>
          <w:rFonts w:hint="eastAsia"/>
          <w:b/>
          <w:bCs/>
          <w:color w:val="FF0000"/>
          <w:lang w:val="en-US" w:eastAsia="zh-CN"/>
        </w:rPr>
        <w:t>:</w:t>
      </w:r>
      <w:r>
        <w:rPr>
          <w:rFonts w:hint="eastAsia"/>
          <w:b w:val="0"/>
          <w:bCs w:val="0"/>
          <w:color w:val="FF0000"/>
          <w:lang w:val="en-US" w:eastAsia="zh-CN"/>
        </w:rPr>
        <w:t>一旦对新建内容进行审核通过后，无法对回复的内容进行修改。</w:t>
      </w:r>
    </w:p>
    <w:p>
      <w:pPr>
        <w:numPr>
          <w:ilvl w:val="0"/>
          <w:numId w:val="4"/>
        </w:numPr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审核通过后，信件在【已办理】列表，状态显示“已办结、未公开”。</w:t>
      </w:r>
    </w:p>
    <w:p>
      <w:pPr>
        <w:numPr>
          <w:ilvl w:val="0"/>
          <w:numId w:val="0"/>
        </w:numPr>
        <w:bidi w:val="0"/>
        <w:ind w:leftChars="200"/>
      </w:pPr>
      <w:r>
        <w:drawing>
          <wp:inline distT="0" distB="0" distL="114300" distR="114300">
            <wp:extent cx="5723890" cy="1181735"/>
            <wp:effectExtent l="0" t="0" r="10160" b="18415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选择是否公开信件，选择信件--点击公开/不公开。</w:t>
      </w:r>
    </w:p>
    <w:p>
      <w:pPr>
        <w:numPr>
          <w:ilvl w:val="0"/>
          <w:numId w:val="0"/>
        </w:numPr>
        <w:bidi w:val="0"/>
        <w:ind w:leftChars="200"/>
      </w:pPr>
      <w:r>
        <w:drawing>
          <wp:inline distT="0" distB="0" distL="114300" distR="114300">
            <wp:extent cx="5725160" cy="1397635"/>
            <wp:effectExtent l="0" t="0" r="8890" b="1206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200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公开:</w:t>
      </w:r>
      <w:r>
        <w:rPr>
          <w:rFonts w:hint="eastAsia"/>
          <w:lang w:val="en-US" w:eastAsia="zh-CN"/>
        </w:rPr>
        <w:t>选择公开的信件才可在前台查看，但必须用户在提交信件时勾选“可公开”，同时后台选择公开才可正常在前台显示。反则，用户在前台提交时选择“不公开”，则该信件在后台选择了公开，该信件也是无法显示在前台页面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不公开:</w:t>
      </w:r>
      <w:r>
        <w:rPr>
          <w:rFonts w:hint="eastAsia"/>
          <w:lang w:val="en-US" w:eastAsia="zh-CN"/>
        </w:rPr>
        <w:t>只支持用户通过查询码查询其的信件信息，无法对该信件进行公开。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10" w:type="first"/>
      <w:footerReference r:id="rId9" w:type="default"/>
      <w:pgSz w:w="11906" w:h="16838"/>
      <w:pgMar w:top="1440" w:right="1440" w:bottom="1440" w:left="1440" w:header="851" w:footer="992" w:gutter="0"/>
      <w:pgNumType w:start="1"/>
      <w:cols w:space="425" w:num="1"/>
      <w:docGrid w:linePitch="326" w:charSpace="8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  <w:p>
    <w:pPr>
      <w:pStyle w:val="1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3245685"/>
      <w:docPartObj>
        <w:docPartGallery w:val="autotext"/>
      </w:docPartObj>
    </w:sdtPr>
    <w:sdtContent>
      <w:p>
        <w:pPr>
          <w:pStyle w:val="16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  <w:r>
          <w:rPr>
            <w:rFonts w:hint="eastAsia"/>
          </w:rPr>
          <w:t>页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  <w:p>
    <w:pPr>
      <w:pStyle w:val="1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69D5CE"/>
    <w:multiLevelType w:val="singleLevel"/>
    <w:tmpl w:val="C969D5C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BD46F1A"/>
    <w:multiLevelType w:val="singleLevel"/>
    <w:tmpl w:val="DBD46F1A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366F7B04"/>
    <w:multiLevelType w:val="multilevel"/>
    <w:tmpl w:val="366F7B04"/>
    <w:lvl w:ilvl="0" w:tentative="0">
      <w:start w:val="1"/>
      <w:numFmt w:val="decimal"/>
      <w:pStyle w:val="2"/>
      <w:suff w:val="space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992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418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1984" w:hanging="708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3F8976E0"/>
    <w:multiLevelType w:val="singleLevel"/>
    <w:tmpl w:val="3F8976E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488"/>
  <w:drawingGridHorizontalSpacing w:val="122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B53A18"/>
    <w:rsid w:val="000156B9"/>
    <w:rsid w:val="000226F6"/>
    <w:rsid w:val="00057AE3"/>
    <w:rsid w:val="00066CDA"/>
    <w:rsid w:val="00067DED"/>
    <w:rsid w:val="00080557"/>
    <w:rsid w:val="00090CA1"/>
    <w:rsid w:val="0009235B"/>
    <w:rsid w:val="000A0B66"/>
    <w:rsid w:val="000B31EB"/>
    <w:rsid w:val="000E6753"/>
    <w:rsid w:val="000E7579"/>
    <w:rsid w:val="000F702E"/>
    <w:rsid w:val="00111F0B"/>
    <w:rsid w:val="001213AE"/>
    <w:rsid w:val="00132EA2"/>
    <w:rsid w:val="001461C2"/>
    <w:rsid w:val="001518EE"/>
    <w:rsid w:val="001B7D21"/>
    <w:rsid w:val="001C4BF6"/>
    <w:rsid w:val="001F21FB"/>
    <w:rsid w:val="001F5EB9"/>
    <w:rsid w:val="00221A8E"/>
    <w:rsid w:val="00224242"/>
    <w:rsid w:val="00270744"/>
    <w:rsid w:val="00276E3F"/>
    <w:rsid w:val="00276EC3"/>
    <w:rsid w:val="00295E50"/>
    <w:rsid w:val="002A53E9"/>
    <w:rsid w:val="002B61CA"/>
    <w:rsid w:val="002B7C8C"/>
    <w:rsid w:val="002D0A12"/>
    <w:rsid w:val="002D3F49"/>
    <w:rsid w:val="00313A6D"/>
    <w:rsid w:val="00324237"/>
    <w:rsid w:val="00330566"/>
    <w:rsid w:val="00366E09"/>
    <w:rsid w:val="00366FF8"/>
    <w:rsid w:val="00371348"/>
    <w:rsid w:val="00373EC3"/>
    <w:rsid w:val="0037648C"/>
    <w:rsid w:val="00390FE2"/>
    <w:rsid w:val="00390FF1"/>
    <w:rsid w:val="00392B06"/>
    <w:rsid w:val="003C3673"/>
    <w:rsid w:val="003D6095"/>
    <w:rsid w:val="003E7909"/>
    <w:rsid w:val="003F175D"/>
    <w:rsid w:val="003F60EF"/>
    <w:rsid w:val="00422341"/>
    <w:rsid w:val="00422975"/>
    <w:rsid w:val="00432ADB"/>
    <w:rsid w:val="00450D1A"/>
    <w:rsid w:val="0045184D"/>
    <w:rsid w:val="00460D42"/>
    <w:rsid w:val="00462824"/>
    <w:rsid w:val="00471727"/>
    <w:rsid w:val="004815D6"/>
    <w:rsid w:val="00490D3D"/>
    <w:rsid w:val="004A237D"/>
    <w:rsid w:val="004B15FA"/>
    <w:rsid w:val="004B1D0C"/>
    <w:rsid w:val="004B2EDB"/>
    <w:rsid w:val="004B6431"/>
    <w:rsid w:val="004C65DB"/>
    <w:rsid w:val="004E1FDC"/>
    <w:rsid w:val="0050345B"/>
    <w:rsid w:val="00522450"/>
    <w:rsid w:val="00537726"/>
    <w:rsid w:val="00540C47"/>
    <w:rsid w:val="0054673B"/>
    <w:rsid w:val="00556A77"/>
    <w:rsid w:val="005A0042"/>
    <w:rsid w:val="005A62F9"/>
    <w:rsid w:val="005C770B"/>
    <w:rsid w:val="005D23EE"/>
    <w:rsid w:val="005E3F58"/>
    <w:rsid w:val="00635F12"/>
    <w:rsid w:val="006407F7"/>
    <w:rsid w:val="00642BEB"/>
    <w:rsid w:val="006651E5"/>
    <w:rsid w:val="00676CF4"/>
    <w:rsid w:val="00677696"/>
    <w:rsid w:val="00683557"/>
    <w:rsid w:val="006A5C44"/>
    <w:rsid w:val="006B3CC7"/>
    <w:rsid w:val="006D2BD0"/>
    <w:rsid w:val="006D2DDE"/>
    <w:rsid w:val="006E4294"/>
    <w:rsid w:val="00722787"/>
    <w:rsid w:val="00743E12"/>
    <w:rsid w:val="00765EE6"/>
    <w:rsid w:val="0077442F"/>
    <w:rsid w:val="00787D8C"/>
    <w:rsid w:val="00793E15"/>
    <w:rsid w:val="007E7514"/>
    <w:rsid w:val="007F302B"/>
    <w:rsid w:val="007F441F"/>
    <w:rsid w:val="0080211F"/>
    <w:rsid w:val="00834457"/>
    <w:rsid w:val="0085226F"/>
    <w:rsid w:val="008B5699"/>
    <w:rsid w:val="008E3704"/>
    <w:rsid w:val="00912BA3"/>
    <w:rsid w:val="00914174"/>
    <w:rsid w:val="00936850"/>
    <w:rsid w:val="00940A9B"/>
    <w:rsid w:val="00946830"/>
    <w:rsid w:val="00956962"/>
    <w:rsid w:val="009657D0"/>
    <w:rsid w:val="009736BF"/>
    <w:rsid w:val="00973BA7"/>
    <w:rsid w:val="009776F2"/>
    <w:rsid w:val="00990BA4"/>
    <w:rsid w:val="009B6D12"/>
    <w:rsid w:val="009C16A5"/>
    <w:rsid w:val="009C3522"/>
    <w:rsid w:val="009C73A6"/>
    <w:rsid w:val="009D596C"/>
    <w:rsid w:val="009E11A2"/>
    <w:rsid w:val="009F0958"/>
    <w:rsid w:val="009F0F13"/>
    <w:rsid w:val="009F72B3"/>
    <w:rsid w:val="00A154DA"/>
    <w:rsid w:val="00A24A80"/>
    <w:rsid w:val="00A3707C"/>
    <w:rsid w:val="00A511E0"/>
    <w:rsid w:val="00A51741"/>
    <w:rsid w:val="00A55101"/>
    <w:rsid w:val="00A655A8"/>
    <w:rsid w:val="00A8001E"/>
    <w:rsid w:val="00A85B2D"/>
    <w:rsid w:val="00A90771"/>
    <w:rsid w:val="00AA06E4"/>
    <w:rsid w:val="00AC5EE8"/>
    <w:rsid w:val="00AF0A17"/>
    <w:rsid w:val="00B006C2"/>
    <w:rsid w:val="00B03243"/>
    <w:rsid w:val="00B21346"/>
    <w:rsid w:val="00B36F72"/>
    <w:rsid w:val="00B44B2D"/>
    <w:rsid w:val="00B57115"/>
    <w:rsid w:val="00B629E4"/>
    <w:rsid w:val="00B63C07"/>
    <w:rsid w:val="00B77657"/>
    <w:rsid w:val="00B83C03"/>
    <w:rsid w:val="00B85B2F"/>
    <w:rsid w:val="00B9762C"/>
    <w:rsid w:val="00BA0715"/>
    <w:rsid w:val="00BB65DC"/>
    <w:rsid w:val="00BC1AE4"/>
    <w:rsid w:val="00BD1657"/>
    <w:rsid w:val="00BD557D"/>
    <w:rsid w:val="00C238A8"/>
    <w:rsid w:val="00C436C0"/>
    <w:rsid w:val="00C46F27"/>
    <w:rsid w:val="00C53D4B"/>
    <w:rsid w:val="00C815CF"/>
    <w:rsid w:val="00CB14E6"/>
    <w:rsid w:val="00CB7CAD"/>
    <w:rsid w:val="00CC57B4"/>
    <w:rsid w:val="00CD36E0"/>
    <w:rsid w:val="00CE1602"/>
    <w:rsid w:val="00CE2C2C"/>
    <w:rsid w:val="00CF0D27"/>
    <w:rsid w:val="00D306DE"/>
    <w:rsid w:val="00D339DD"/>
    <w:rsid w:val="00D376F0"/>
    <w:rsid w:val="00D5422A"/>
    <w:rsid w:val="00D55ABD"/>
    <w:rsid w:val="00D5721F"/>
    <w:rsid w:val="00D57943"/>
    <w:rsid w:val="00D62BB3"/>
    <w:rsid w:val="00D63120"/>
    <w:rsid w:val="00D6363F"/>
    <w:rsid w:val="00D739D6"/>
    <w:rsid w:val="00D80853"/>
    <w:rsid w:val="00D84883"/>
    <w:rsid w:val="00D87ADD"/>
    <w:rsid w:val="00D9133F"/>
    <w:rsid w:val="00D94725"/>
    <w:rsid w:val="00DB2EDD"/>
    <w:rsid w:val="00DD2BB8"/>
    <w:rsid w:val="00DD5A13"/>
    <w:rsid w:val="00DF728F"/>
    <w:rsid w:val="00E012D7"/>
    <w:rsid w:val="00E07807"/>
    <w:rsid w:val="00E24E2A"/>
    <w:rsid w:val="00E33026"/>
    <w:rsid w:val="00E3666D"/>
    <w:rsid w:val="00E37376"/>
    <w:rsid w:val="00E465AF"/>
    <w:rsid w:val="00E56B1C"/>
    <w:rsid w:val="00E6083B"/>
    <w:rsid w:val="00E643E1"/>
    <w:rsid w:val="00E77942"/>
    <w:rsid w:val="00E909DA"/>
    <w:rsid w:val="00EA564A"/>
    <w:rsid w:val="00EA793F"/>
    <w:rsid w:val="00EB01F2"/>
    <w:rsid w:val="00EC4625"/>
    <w:rsid w:val="00EE1C07"/>
    <w:rsid w:val="00EE36FA"/>
    <w:rsid w:val="00EF6783"/>
    <w:rsid w:val="00F03925"/>
    <w:rsid w:val="00F06728"/>
    <w:rsid w:val="00F21CAE"/>
    <w:rsid w:val="00F37BC4"/>
    <w:rsid w:val="00F73228"/>
    <w:rsid w:val="00F8034B"/>
    <w:rsid w:val="123B5EA6"/>
    <w:rsid w:val="159F1D7F"/>
    <w:rsid w:val="1B331078"/>
    <w:rsid w:val="28BA1636"/>
    <w:rsid w:val="2A3A666A"/>
    <w:rsid w:val="2C7F0E9B"/>
    <w:rsid w:val="2F0F0249"/>
    <w:rsid w:val="345825AC"/>
    <w:rsid w:val="3BF436EE"/>
    <w:rsid w:val="3C835BEE"/>
    <w:rsid w:val="4A754BCE"/>
    <w:rsid w:val="4E91721F"/>
    <w:rsid w:val="5C2C470D"/>
    <w:rsid w:val="5FB53A18"/>
    <w:rsid w:val="689146D6"/>
    <w:rsid w:val="6B1C13B6"/>
    <w:rsid w:val="6F9F5EFE"/>
    <w:rsid w:val="74F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0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qFormat="1" w:unhideWhenUsed="0" w:uiPriority="0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numPr>
        <w:ilvl w:val="0"/>
        <w:numId w:val="1"/>
      </w:numPr>
      <w:spacing w:after="220" w:line="360" w:lineRule="auto"/>
      <w:ind w:left="0" w:firstLine="0" w:firstLineChars="0"/>
      <w:jc w:val="left"/>
      <w:outlineLvl w:val="0"/>
    </w:pPr>
    <w:rPr>
      <w:rFonts w:eastAsia="黑体"/>
      <w:bCs/>
      <w:kern w:val="44"/>
      <w:sz w:val="30"/>
      <w:szCs w:val="44"/>
    </w:rPr>
  </w:style>
  <w:style w:type="paragraph" w:styleId="3">
    <w:name w:val="heading 2"/>
    <w:basedOn w:val="1"/>
    <w:next w:val="1"/>
    <w:link w:val="31"/>
    <w:unhideWhenUsed/>
    <w:qFormat/>
    <w:uiPriority w:val="0"/>
    <w:pPr>
      <w:keepNext/>
      <w:keepLines/>
      <w:numPr>
        <w:ilvl w:val="1"/>
        <w:numId w:val="1"/>
      </w:numPr>
      <w:spacing w:before="50" w:beforeLines="50" w:line="360" w:lineRule="auto"/>
      <w:ind w:left="0" w:firstLine="0" w:firstLineChars="0"/>
      <w:jc w:val="left"/>
      <w:outlineLvl w:val="1"/>
    </w:pPr>
    <w:rPr>
      <w:rFonts w:eastAsia="黑体" w:asciiTheme="majorHAnsi" w:hAnsiTheme="majorHAnsi" w:cstheme="majorBidi"/>
      <w:bCs/>
      <w:sz w:val="28"/>
      <w:szCs w:val="32"/>
    </w:rPr>
  </w:style>
  <w:style w:type="paragraph" w:styleId="4">
    <w:name w:val="heading 3"/>
    <w:basedOn w:val="1"/>
    <w:next w:val="1"/>
    <w:link w:val="32"/>
    <w:unhideWhenUsed/>
    <w:qFormat/>
    <w:uiPriority w:val="0"/>
    <w:pPr>
      <w:keepNext/>
      <w:keepLines/>
      <w:numPr>
        <w:ilvl w:val="2"/>
        <w:numId w:val="1"/>
      </w:numPr>
      <w:spacing w:before="50" w:beforeLines="50" w:line="360" w:lineRule="auto"/>
      <w:ind w:left="0" w:firstLine="0" w:firstLineChars="0"/>
      <w:jc w:val="left"/>
      <w:outlineLvl w:val="2"/>
    </w:pPr>
    <w:rPr>
      <w:rFonts w:eastAsia="黑体"/>
      <w:bCs/>
      <w:szCs w:val="32"/>
    </w:rPr>
  </w:style>
  <w:style w:type="paragraph" w:styleId="5">
    <w:name w:val="heading 4"/>
    <w:basedOn w:val="1"/>
    <w:next w:val="1"/>
    <w:link w:val="33"/>
    <w:unhideWhenUsed/>
    <w:qFormat/>
    <w:uiPriority w:val="0"/>
    <w:pPr>
      <w:keepNext/>
      <w:keepLines/>
      <w:numPr>
        <w:ilvl w:val="3"/>
        <w:numId w:val="1"/>
      </w:numPr>
      <w:spacing w:line="360" w:lineRule="auto"/>
      <w:ind w:left="0" w:firstLine="200"/>
      <w:jc w:val="left"/>
      <w:outlineLvl w:val="3"/>
    </w:pPr>
    <w:rPr>
      <w:rFonts w:eastAsia="黑体" w:asciiTheme="majorHAnsi" w:hAnsiTheme="majorHAnsi" w:cstheme="majorBidi"/>
      <w:bCs/>
      <w:szCs w:val="28"/>
    </w:rPr>
  </w:style>
  <w:style w:type="paragraph" w:styleId="6">
    <w:name w:val="heading 5"/>
    <w:basedOn w:val="1"/>
    <w:next w:val="1"/>
    <w:link w:val="36"/>
    <w:qFormat/>
    <w:uiPriority w:val="0"/>
    <w:pPr>
      <w:keepNext/>
      <w:keepLines/>
      <w:spacing w:before="100" w:beforeAutospacing="1" w:after="100" w:afterAutospacing="1" w:line="240" w:lineRule="auto"/>
      <w:outlineLvl w:val="4"/>
    </w:pPr>
    <w:rPr>
      <w:rFonts w:ascii="Times" w:hAnsi="Times"/>
      <w:b/>
      <w:bCs/>
      <w:sz w:val="21"/>
      <w:szCs w:val="28"/>
    </w:rPr>
  </w:style>
  <w:style w:type="paragraph" w:styleId="7">
    <w:name w:val="heading 6"/>
    <w:basedOn w:val="1"/>
    <w:next w:val="1"/>
    <w:link w:val="37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</w:rPr>
  </w:style>
  <w:style w:type="paragraph" w:styleId="8">
    <w:name w:val="heading 7"/>
    <w:basedOn w:val="1"/>
    <w:next w:val="1"/>
    <w:link w:val="38"/>
    <w:qFormat/>
    <w:uiPriority w:val="0"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9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40"/>
    <w:qFormat/>
    <w:uiPriority w:val="0"/>
    <w:pPr>
      <w:keepNext/>
      <w:keepLines/>
      <w:spacing w:before="240" w:after="64" w:line="320" w:lineRule="auto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te Heading"/>
    <w:basedOn w:val="1"/>
    <w:next w:val="1"/>
    <w:link w:val="29"/>
    <w:qFormat/>
    <w:uiPriority w:val="0"/>
    <w:pPr>
      <w:jc w:val="center"/>
    </w:pPr>
  </w:style>
  <w:style w:type="paragraph" w:styleId="1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endnote text"/>
    <w:basedOn w:val="1"/>
    <w:link w:val="44"/>
    <w:semiHidden/>
    <w:unhideWhenUsed/>
    <w:qFormat/>
    <w:uiPriority w:val="99"/>
    <w:pPr>
      <w:snapToGrid w:val="0"/>
      <w:jc w:val="left"/>
    </w:pPr>
  </w:style>
  <w:style w:type="paragraph" w:styleId="15">
    <w:name w:val="Balloon Text"/>
    <w:basedOn w:val="1"/>
    <w:link w:val="4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6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sz w:val="18"/>
      <w:szCs w:val="18"/>
    </w:rPr>
  </w:style>
  <w:style w:type="paragraph" w:styleId="17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0" w:firstLineChars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spacing w:before="50" w:beforeLines="50" w:after="50" w:afterLines="50"/>
      <w:jc w:val="left"/>
    </w:pPr>
    <w:rPr>
      <w:rFonts w:ascii="Times" w:hAnsi="Times"/>
      <w:b/>
    </w:rPr>
  </w:style>
  <w:style w:type="paragraph" w:styleId="19">
    <w:name w:val="footnote text"/>
    <w:basedOn w:val="1"/>
    <w:link w:val="43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3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4">
    <w:name w:val="Emphasis"/>
    <w:basedOn w:val="22"/>
    <w:qFormat/>
    <w:uiPriority w:val="20"/>
    <w:rPr>
      <w:i/>
      <w:iCs/>
    </w:rPr>
  </w:style>
  <w:style w:type="character" w:styleId="25">
    <w:name w:val="Hyperlink"/>
    <w:qFormat/>
    <w:uiPriority w:val="99"/>
    <w:rPr>
      <w:color w:val="0000FF"/>
      <w:u w:val="single"/>
    </w:rPr>
  </w:style>
  <w:style w:type="character" w:styleId="26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27">
    <w:name w:val="页眉 字符"/>
    <w:basedOn w:val="22"/>
    <w:link w:val="17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8">
    <w:name w:val="页脚 字符"/>
    <w:basedOn w:val="22"/>
    <w:link w:val="16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9">
    <w:name w:val="注释标题 字符"/>
    <w:basedOn w:val="22"/>
    <w:link w:val="1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0">
    <w:name w:val="标题 1 字符"/>
    <w:basedOn w:val="22"/>
    <w:link w:val="2"/>
    <w:qFormat/>
    <w:uiPriority w:val="0"/>
    <w:rPr>
      <w:rFonts w:ascii="Times New Roman" w:hAnsi="Times New Roman" w:eastAsia="黑体" w:cs="Times New Roman"/>
      <w:bCs/>
      <w:kern w:val="44"/>
      <w:sz w:val="30"/>
      <w:szCs w:val="44"/>
    </w:rPr>
  </w:style>
  <w:style w:type="character" w:customStyle="1" w:styleId="31">
    <w:name w:val="标题 2 字符"/>
    <w:basedOn w:val="22"/>
    <w:link w:val="3"/>
    <w:qFormat/>
    <w:uiPriority w:val="0"/>
    <w:rPr>
      <w:rFonts w:eastAsia="黑体" w:asciiTheme="majorHAnsi" w:hAnsiTheme="majorHAnsi" w:cstheme="majorBidi"/>
      <w:bCs/>
      <w:sz w:val="28"/>
      <w:szCs w:val="32"/>
    </w:rPr>
  </w:style>
  <w:style w:type="character" w:customStyle="1" w:styleId="32">
    <w:name w:val="标题 3 字符"/>
    <w:basedOn w:val="22"/>
    <w:link w:val="4"/>
    <w:qFormat/>
    <w:uiPriority w:val="0"/>
    <w:rPr>
      <w:rFonts w:ascii="Times New Roman" w:hAnsi="Times New Roman" w:eastAsia="黑体" w:cs="Times New Roman"/>
      <w:bCs/>
      <w:sz w:val="24"/>
      <w:szCs w:val="32"/>
    </w:rPr>
  </w:style>
  <w:style w:type="character" w:customStyle="1" w:styleId="33">
    <w:name w:val="标题 4 字符"/>
    <w:basedOn w:val="22"/>
    <w:link w:val="5"/>
    <w:qFormat/>
    <w:uiPriority w:val="0"/>
    <w:rPr>
      <w:rFonts w:eastAsia="黑体" w:asciiTheme="majorHAnsi" w:hAnsiTheme="majorHAnsi" w:cstheme="majorBidi"/>
      <w:bCs/>
      <w:sz w:val="24"/>
      <w:szCs w:val="28"/>
    </w:rPr>
  </w:style>
  <w:style w:type="paragraph" w:styleId="34">
    <w:name w:val="List Paragraph"/>
    <w:basedOn w:val="1"/>
    <w:qFormat/>
    <w:uiPriority w:val="34"/>
    <w:pPr>
      <w:ind w:firstLine="420"/>
    </w:pPr>
  </w:style>
  <w:style w:type="paragraph" w:customStyle="1" w:styleId="35">
    <w:name w:val="解释字体"/>
    <w:basedOn w:val="1"/>
    <w:next w:val="1"/>
    <w:qFormat/>
    <w:uiPriority w:val="0"/>
    <w:pPr>
      <w:widowControl/>
      <w:spacing w:after="80"/>
      <w:jc w:val="left"/>
    </w:pPr>
    <w:rPr>
      <w:i/>
      <w:snapToGrid w:val="0"/>
      <w:kern w:val="0"/>
      <w:sz w:val="20"/>
      <w:szCs w:val="20"/>
    </w:rPr>
  </w:style>
  <w:style w:type="character" w:customStyle="1" w:styleId="36">
    <w:name w:val="标题 5 字符"/>
    <w:basedOn w:val="22"/>
    <w:link w:val="6"/>
    <w:qFormat/>
    <w:uiPriority w:val="0"/>
    <w:rPr>
      <w:rFonts w:ascii="Times" w:hAnsi="Times" w:eastAsia="宋体" w:cs="Times New Roman"/>
      <w:b/>
      <w:bCs/>
      <w:szCs w:val="28"/>
    </w:rPr>
  </w:style>
  <w:style w:type="character" w:customStyle="1" w:styleId="37">
    <w:name w:val="标题 6 字符"/>
    <w:basedOn w:val="22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8">
    <w:name w:val="标题 7 字符"/>
    <w:basedOn w:val="22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9">
    <w:name w:val="标题 8 字符"/>
    <w:basedOn w:val="22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0">
    <w:name w:val="标题 9 字符"/>
    <w:basedOn w:val="22"/>
    <w:link w:val="10"/>
    <w:qFormat/>
    <w:uiPriority w:val="0"/>
    <w:rPr>
      <w:rFonts w:ascii="Arial" w:hAnsi="Arial" w:eastAsia="黑体" w:cs="Times New Roman"/>
      <w:szCs w:val="21"/>
    </w:rPr>
  </w:style>
  <w:style w:type="character" w:customStyle="1" w:styleId="41">
    <w:name w:val="批注框文本 字符"/>
    <w:basedOn w:val="22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hAnsiTheme="majorHAnsi" w:eastAsiaTheme="majorEastAsia" w:cstheme="majorBidi"/>
      <w:b/>
      <w:bCs w:val="0"/>
      <w:color w:val="2E75B6" w:themeColor="accent1" w:themeShade="BF"/>
      <w:kern w:val="0"/>
      <w:sz w:val="32"/>
      <w:szCs w:val="32"/>
    </w:rPr>
  </w:style>
  <w:style w:type="character" w:customStyle="1" w:styleId="43">
    <w:name w:val="脚注文本 字符"/>
    <w:basedOn w:val="22"/>
    <w:link w:val="1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4">
    <w:name w:val="尾注文本 字符"/>
    <w:basedOn w:val="22"/>
    <w:link w:val="14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styleId="45">
    <w:name w:val="No Spacing"/>
    <w:link w:val="46"/>
    <w:qFormat/>
    <w:uiPriority w:val="1"/>
    <w:rPr>
      <w:rFonts w:asciiTheme="minorHAnsi" w:hAnsiTheme="minorHAnsi" w:eastAsiaTheme="minorEastAsia" w:cstheme="minorBidi"/>
      <w:kern w:val="0"/>
      <w:sz w:val="22"/>
      <w:szCs w:val="21"/>
      <w:lang w:val="en-US" w:eastAsia="zh-CN" w:bidi="ar-SA"/>
    </w:rPr>
  </w:style>
  <w:style w:type="character" w:customStyle="1" w:styleId="46">
    <w:name w:val="无间隔 字符"/>
    <w:basedOn w:val="22"/>
    <w:link w:val="45"/>
    <w:qFormat/>
    <w:uiPriority w:val="1"/>
    <w:rPr>
      <w:kern w:val="0"/>
      <w:sz w:val="22"/>
    </w:rPr>
  </w:style>
  <w:style w:type="paragraph" w:styleId="47">
    <w:name w:val="Quote"/>
    <w:basedOn w:val="1"/>
    <w:next w:val="1"/>
    <w:link w:val="51"/>
    <w:qFormat/>
    <w:uiPriority w:val="29"/>
    <w:pPr>
      <w:spacing w:before="200" w:after="160"/>
      <w:ind w:left="862" w:right="862" w:firstLine="0" w:firstLineChars="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8">
    <w:name w:val="图片样式"/>
    <w:basedOn w:val="1"/>
    <w:qFormat/>
    <w:uiPriority w:val="0"/>
    <w:pPr>
      <w:spacing w:line="240" w:lineRule="auto"/>
      <w:ind w:firstLine="0" w:firstLineChars="0"/>
      <w:jc w:val="center"/>
    </w:pPr>
  </w:style>
  <w:style w:type="paragraph" w:customStyle="1" w:styleId="49">
    <w:name w:val="表格正文"/>
    <w:basedOn w:val="1"/>
    <w:qFormat/>
    <w:uiPriority w:val="0"/>
    <w:pPr>
      <w:ind w:firstLine="0" w:firstLineChars="0"/>
      <w:jc w:val="center"/>
    </w:pPr>
    <w:rPr>
      <w:rFonts w:cs="Arial"/>
      <w:sz w:val="21"/>
    </w:rPr>
  </w:style>
  <w:style w:type="paragraph" w:customStyle="1" w:styleId="50">
    <w:name w:val="图片题注"/>
    <w:basedOn w:val="1"/>
    <w:qFormat/>
    <w:uiPriority w:val="0"/>
    <w:pPr>
      <w:spacing w:after="100" w:afterLines="100"/>
      <w:ind w:firstLine="0" w:firstLineChars="0"/>
      <w:jc w:val="center"/>
    </w:pPr>
    <w:rPr>
      <w:rFonts w:cs="Times New Roman"/>
      <w:sz w:val="21"/>
      <w:szCs w:val="20"/>
    </w:rPr>
  </w:style>
  <w:style w:type="character" w:customStyle="1" w:styleId="51">
    <w:name w:val="引用 字符"/>
    <w:basedOn w:val="22"/>
    <w:link w:val="47"/>
    <w:qFormat/>
    <w:uiPriority w:val="29"/>
    <w:rPr>
      <w:rFonts w:ascii="Times New Roman" w:hAnsi="Times New Roman" w:eastAsia="宋体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52">
    <w:name w:val="表名"/>
    <w:basedOn w:val="12"/>
    <w:next w:val="49"/>
    <w:qFormat/>
    <w:uiPriority w:val="0"/>
    <w:pPr>
      <w:keepNext/>
      <w:ind w:firstLine="0" w:firstLineChars="0"/>
      <w:jc w:val="center"/>
    </w:pPr>
    <w:rPr>
      <w:rFonts w:ascii="Times New Roman" w:hAnsi="Times New Roman" w:eastAsia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customXml" Target="../customXml/item3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header" Target="header3.xml"/><Relationship Id="rId49" Type="http://schemas.openxmlformats.org/officeDocument/2006/relationships/customXml" Target="../customXml/item1.xml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kup\&#26700;&#38754;\&#24320;&#24179;&#24066;&#20154;&#27665;&#27861;&#38498;\&#38598;&#32422;&#21270;&#24179;&#21488;&#38382;&#25919;&#20114;&#21160;&#25805;&#20316;&#25163;&#2087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FC09C5-6DE1-4D54-95C2-0643EF90D23B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集约化平台问政互动操作手册.dotx</Template>
  <Pages>4</Pages>
  <Words>125</Words>
  <Characters>197</Characters>
  <Lines>2</Lines>
  <Paragraphs>1</Paragraphs>
  <TotalTime>0</TotalTime>
  <ScaleCrop>false</ScaleCrop>
  <LinksUpToDate>false</LinksUpToDate>
  <CharactersWithSpaces>197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2020-03-11T02:29:00Z</dcterms:created>
  <dc:creator>Riley</dc:creator>
  <cp:lastModifiedBy>Riley</cp:lastModifiedBy>
  <dcterms:modified xsi:type="dcterms:W3CDTF">2020-08-19T08:20:21Z</dcterms:modified>
  <dc:title>江门市小微双创人力资源服务平台项目用户需求说明书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